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1E" w:rsidRDefault="0030061E" w:rsidP="0030061E">
      <w:pPr>
        <w:spacing w:after="0" w:line="360" w:lineRule="auto"/>
        <w:jc w:val="both"/>
        <w:rPr>
          <w:rFonts w:ascii="Times New Roman" w:eastAsia="Times New Roman" w:hAnsi="Times New Roman"/>
          <w:b/>
          <w:sz w:val="24"/>
        </w:rPr>
      </w:pPr>
      <w:r w:rsidRPr="00E23CCB">
        <w:rPr>
          <w:rFonts w:ascii="Times New Roman" w:eastAsia="Times New Roman" w:hAnsi="Times New Roman"/>
          <w:b/>
          <w:sz w:val="24"/>
        </w:rPr>
        <w:t>Myconematicides</w:t>
      </w:r>
    </w:p>
    <w:p w:rsidR="0030061E" w:rsidRPr="0046486B" w:rsidRDefault="0030061E" w:rsidP="0030061E">
      <w:pPr>
        <w:spacing w:after="0" w:line="360" w:lineRule="auto"/>
        <w:jc w:val="both"/>
        <w:rPr>
          <w:rFonts w:ascii="Times New Roman" w:eastAsia="Times New Roman" w:hAnsi="Times New Roman"/>
          <w:sz w:val="24"/>
        </w:rPr>
      </w:pPr>
      <w:r w:rsidRPr="0046486B">
        <w:rPr>
          <w:rFonts w:ascii="Times New Roman" w:eastAsia="Times New Roman" w:hAnsi="Times New Roman"/>
          <w:sz w:val="24"/>
        </w:rPr>
        <w:t xml:space="preserve">Various </w:t>
      </w:r>
      <w:r>
        <w:rPr>
          <w:rFonts w:ascii="Times New Roman" w:eastAsia="Times New Roman" w:hAnsi="Times New Roman"/>
          <w:sz w:val="24"/>
        </w:rPr>
        <w:t xml:space="preserve">studies have been made with fungal nematicides. Classcal nematode-trapping fungi belonging to the genera, </w:t>
      </w:r>
      <w:r w:rsidRPr="009322EB">
        <w:rPr>
          <w:rFonts w:ascii="Times New Roman" w:eastAsia="Times New Roman" w:hAnsi="Times New Roman"/>
          <w:i/>
          <w:sz w:val="24"/>
        </w:rPr>
        <w:t>Arthrobotrys, Dactylaria, Dactylella and Monacrosporium</w:t>
      </w:r>
      <w:r>
        <w:rPr>
          <w:rFonts w:ascii="Times New Roman" w:eastAsia="Times New Roman" w:hAnsi="Times New Roman"/>
          <w:sz w:val="24"/>
        </w:rPr>
        <w:t xml:space="preserve"> have been studied in trials to control nematode genera Meloidogyne, Heterodera and Rotylenchulus, attacking mostly vegetable crops. These nematodes cause cyst and root knot diseases in these plants. There have been some limitations in the use of classical nematophagous (trap-forming) fungi for the control of these nematodes. It is difficult to manage fungi so that periods of nematode migration and trap formation coincide. Another group of fungi, the soil fungi have been found more ideal nematicides. These are </w:t>
      </w:r>
      <w:r w:rsidRPr="0046486B">
        <w:rPr>
          <w:rFonts w:ascii="Times New Roman" w:eastAsia="Times New Roman" w:hAnsi="Times New Roman"/>
          <w:b/>
          <w:sz w:val="24"/>
        </w:rPr>
        <w:t>opportunistic fungi</w:t>
      </w:r>
      <w:r>
        <w:rPr>
          <w:rFonts w:ascii="Times New Roman" w:eastAsia="Times New Roman" w:hAnsi="Times New Roman"/>
          <w:sz w:val="24"/>
        </w:rPr>
        <w:t xml:space="preserve"> such as </w:t>
      </w:r>
      <w:r w:rsidRPr="009322EB">
        <w:rPr>
          <w:rFonts w:ascii="Times New Roman" w:eastAsia="Times New Roman" w:hAnsi="Times New Roman"/>
          <w:i/>
          <w:sz w:val="24"/>
        </w:rPr>
        <w:t>Vertivillium chlamydosporium, Dactylella oviparasitica</w:t>
      </w:r>
      <w:r>
        <w:rPr>
          <w:rFonts w:ascii="Times New Roman" w:eastAsia="Times New Roman" w:hAnsi="Times New Roman"/>
          <w:sz w:val="24"/>
        </w:rPr>
        <w:t xml:space="preserve"> and </w:t>
      </w:r>
      <w:r w:rsidRPr="009322EB">
        <w:rPr>
          <w:rFonts w:ascii="Times New Roman" w:eastAsia="Times New Roman" w:hAnsi="Times New Roman"/>
          <w:i/>
          <w:sz w:val="24"/>
        </w:rPr>
        <w:t>Paecilomyces lilacinus</w:t>
      </w:r>
      <w:r>
        <w:rPr>
          <w:rFonts w:ascii="Times New Roman" w:eastAsia="Times New Roman" w:hAnsi="Times New Roman"/>
          <w:sz w:val="24"/>
        </w:rPr>
        <w:t xml:space="preserve"> that also attack eggs and young females of cyst and root-knot nematodes. Of these </w:t>
      </w:r>
      <w:r w:rsidRPr="009322EB">
        <w:rPr>
          <w:rFonts w:ascii="Times New Roman" w:eastAsia="Times New Roman" w:hAnsi="Times New Roman"/>
          <w:i/>
          <w:sz w:val="24"/>
        </w:rPr>
        <w:t>P. lilacinus</w:t>
      </w:r>
      <w:r>
        <w:rPr>
          <w:rFonts w:ascii="Times New Roman" w:eastAsia="Times New Roman" w:hAnsi="Times New Roman"/>
          <w:sz w:val="24"/>
        </w:rPr>
        <w:t xml:space="preserve"> has attracted much attention as it is almost ubiquitous in tropical and subtropical soils.</w:t>
      </w:r>
    </w:p>
    <w:p w:rsidR="0030061E" w:rsidRDefault="0030061E" w:rsidP="0030061E">
      <w:pPr>
        <w:spacing w:after="0" w:line="360" w:lineRule="auto"/>
        <w:jc w:val="both"/>
        <w:rPr>
          <w:rFonts w:ascii="Times New Roman" w:eastAsia="Times New Roman" w:hAnsi="Times New Roman"/>
          <w:b/>
          <w:sz w:val="24"/>
        </w:rPr>
      </w:pPr>
      <w:r w:rsidRPr="00441897">
        <w:rPr>
          <w:rFonts w:ascii="Times New Roman" w:eastAsia="Times New Roman" w:hAnsi="Times New Roman"/>
          <w:b/>
          <w:sz w:val="24"/>
        </w:rPr>
        <w:t>Mycoinsecticides</w:t>
      </w:r>
    </w:p>
    <w:p w:rsidR="0030061E" w:rsidRDefault="0030061E" w:rsidP="0030061E">
      <w:pPr>
        <w:spacing w:after="0" w:line="360" w:lineRule="auto"/>
        <w:jc w:val="both"/>
        <w:rPr>
          <w:rFonts w:ascii="Times New Roman" w:eastAsia="Times New Roman" w:hAnsi="Times New Roman"/>
          <w:sz w:val="24"/>
        </w:rPr>
      </w:pPr>
      <w:r w:rsidRPr="002951BD">
        <w:rPr>
          <w:rFonts w:ascii="Times New Roman" w:eastAsia="Times New Roman" w:hAnsi="Times New Roman"/>
          <w:sz w:val="24"/>
        </w:rPr>
        <w:t xml:space="preserve">The greatest commercial impacts of biocontrol agents have been made in the </w:t>
      </w:r>
      <w:r>
        <w:rPr>
          <w:rFonts w:ascii="Times New Roman" w:eastAsia="Times New Roman" w:hAnsi="Times New Roman"/>
          <w:sz w:val="24"/>
        </w:rPr>
        <w:t xml:space="preserve">insecticide markets. The most successful biocontrol agent has so far been the insecticidal bacterium, </w:t>
      </w:r>
      <w:r w:rsidRPr="00F77157">
        <w:rPr>
          <w:rFonts w:ascii="Times New Roman" w:eastAsia="Times New Roman" w:hAnsi="Times New Roman"/>
          <w:i/>
          <w:sz w:val="24"/>
        </w:rPr>
        <w:t>Bacillus thuringiensis</w:t>
      </w:r>
      <w:r>
        <w:rPr>
          <w:rFonts w:ascii="Times New Roman" w:eastAsia="Times New Roman" w:hAnsi="Times New Roman"/>
          <w:sz w:val="24"/>
        </w:rPr>
        <w:t>, whose sales in forestry, agriculture and public health went much higher. Viruses, bacteria and fungi have been used as microbial insecticides.</w:t>
      </w:r>
    </w:p>
    <w:p w:rsidR="0030061E" w:rsidRDefault="0030061E" w:rsidP="0030061E">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Fungal insecticides become most common and effective by means of control of insect pests in some countries, chiefly in ex-USSR. Products of the entomogenous fungi have been used for insects of field crops, forest trees as well as horticulture and vegetable crops grown in greenhouse. Several preparations have been produced, formulated and used commercially, chiefly in ex-USSR and developing countries like Brazil, Cuba and Israel. In western world fungal products have not yet been as successful as viral and </w:t>
      </w:r>
      <w:r w:rsidRPr="00821E6B">
        <w:rPr>
          <w:rFonts w:ascii="Times New Roman" w:eastAsia="Times New Roman" w:hAnsi="Times New Roman"/>
          <w:i/>
          <w:sz w:val="24"/>
        </w:rPr>
        <w:t>B.t.</w:t>
      </w:r>
      <w:r>
        <w:rPr>
          <w:rFonts w:ascii="Times New Roman" w:eastAsia="Times New Roman" w:hAnsi="Times New Roman"/>
          <w:sz w:val="24"/>
        </w:rPr>
        <w:t xml:space="preserve"> insecticides. Different kinds of formulations have been developed and applied in different ways to insect pests. Though insect mycoses are caused by members of every class of fungi, most studies on entomogenous fungi have been concerned with species of the genera, </w:t>
      </w:r>
      <w:r w:rsidRPr="00C45E1C">
        <w:rPr>
          <w:rFonts w:ascii="Times New Roman" w:eastAsia="Times New Roman" w:hAnsi="Times New Roman"/>
          <w:i/>
          <w:sz w:val="24"/>
        </w:rPr>
        <w:t>Aschersonia, Beauveria, Metarrhizium, Verticilliu</w:t>
      </w:r>
      <w:r>
        <w:rPr>
          <w:rFonts w:ascii="Times New Roman" w:eastAsia="Times New Roman" w:hAnsi="Times New Roman"/>
          <w:i/>
          <w:sz w:val="24"/>
        </w:rPr>
        <w:t>m</w:t>
      </w:r>
      <w:r w:rsidRPr="00C45E1C">
        <w:rPr>
          <w:rFonts w:ascii="Times New Roman" w:eastAsia="Times New Roman" w:hAnsi="Times New Roman"/>
          <w:i/>
          <w:sz w:val="24"/>
        </w:rPr>
        <w:t>, Hirsutella, Coelomomyces and Entomophthora</w:t>
      </w:r>
      <w:r>
        <w:rPr>
          <w:rFonts w:ascii="Times New Roman" w:eastAsia="Times New Roman" w:hAnsi="Times New Roman"/>
          <w:sz w:val="24"/>
        </w:rPr>
        <w:t>. Some fungal insecticides are listed below</w:t>
      </w:r>
    </w:p>
    <w:tbl>
      <w:tblPr>
        <w:tblStyle w:val="TableGrid"/>
        <w:tblW w:w="0" w:type="auto"/>
        <w:tblLook w:val="04A0"/>
      </w:tblPr>
      <w:tblGrid>
        <w:gridCol w:w="817"/>
        <w:gridCol w:w="5103"/>
        <w:gridCol w:w="3322"/>
      </w:tblGrid>
      <w:tr w:rsidR="0030061E" w:rsidTr="007F4BE3">
        <w:tc>
          <w:tcPr>
            <w:tcW w:w="817" w:type="dxa"/>
          </w:tcPr>
          <w:p w:rsidR="0030061E" w:rsidRDefault="0030061E" w:rsidP="007F4BE3">
            <w:pPr>
              <w:spacing w:line="360" w:lineRule="auto"/>
              <w:ind w:left="-142"/>
              <w:jc w:val="both"/>
              <w:rPr>
                <w:rFonts w:ascii="Times New Roman" w:eastAsia="Times New Roman" w:hAnsi="Times New Roman"/>
                <w:sz w:val="24"/>
              </w:rPr>
            </w:pPr>
            <w:r>
              <w:rPr>
                <w:rFonts w:ascii="Times New Roman" w:eastAsia="Times New Roman" w:hAnsi="Times New Roman"/>
                <w:sz w:val="24"/>
              </w:rPr>
              <w:t>Sl. No.</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Insect pest</w:t>
            </w:r>
          </w:p>
        </w:tc>
        <w:tc>
          <w:tcPr>
            <w:tcW w:w="3322"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 xml:space="preserve">Fungus </w:t>
            </w:r>
          </w:p>
        </w:tc>
      </w:tr>
      <w:tr w:rsidR="0030061E" w:rsidTr="007F4BE3">
        <w:tc>
          <w:tcPr>
            <w:tcW w:w="817"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1</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Glasshouse whitefly of many crops</w:t>
            </w:r>
          </w:p>
        </w:tc>
        <w:tc>
          <w:tcPr>
            <w:tcW w:w="3322" w:type="dxa"/>
          </w:tcPr>
          <w:p w:rsidR="0030061E" w:rsidRDefault="0030061E" w:rsidP="007F4BE3">
            <w:pPr>
              <w:spacing w:line="360" w:lineRule="auto"/>
              <w:jc w:val="both"/>
              <w:rPr>
                <w:rFonts w:ascii="Times New Roman" w:eastAsia="Times New Roman" w:hAnsi="Times New Roman"/>
                <w:sz w:val="24"/>
              </w:rPr>
            </w:pPr>
            <w:r w:rsidRPr="00C45E1C">
              <w:rPr>
                <w:rFonts w:ascii="Times New Roman" w:eastAsia="Times New Roman" w:hAnsi="Times New Roman"/>
                <w:i/>
                <w:sz w:val="24"/>
              </w:rPr>
              <w:t>Aschersonia</w:t>
            </w:r>
            <w:r>
              <w:rPr>
                <w:rFonts w:ascii="Times New Roman" w:eastAsia="Times New Roman" w:hAnsi="Times New Roman"/>
                <w:i/>
                <w:sz w:val="24"/>
              </w:rPr>
              <w:t xml:space="preserve"> aleyrodis</w:t>
            </w:r>
          </w:p>
        </w:tc>
      </w:tr>
      <w:tr w:rsidR="0030061E" w:rsidTr="007F4BE3">
        <w:tc>
          <w:tcPr>
            <w:tcW w:w="817"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2</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Colorado potato beetle, coding moth Pine caterpillar, green leaf hopper, European corn borer</w:t>
            </w:r>
          </w:p>
        </w:tc>
        <w:tc>
          <w:tcPr>
            <w:tcW w:w="3322" w:type="dxa"/>
          </w:tcPr>
          <w:p w:rsidR="0030061E" w:rsidRDefault="0030061E" w:rsidP="007F4BE3">
            <w:pPr>
              <w:spacing w:line="360" w:lineRule="auto"/>
              <w:jc w:val="both"/>
              <w:rPr>
                <w:rFonts w:ascii="Times New Roman" w:eastAsia="Times New Roman" w:hAnsi="Times New Roman"/>
                <w:sz w:val="24"/>
              </w:rPr>
            </w:pPr>
            <w:r w:rsidRPr="00C45E1C">
              <w:rPr>
                <w:rFonts w:ascii="Times New Roman" w:eastAsia="Times New Roman" w:hAnsi="Times New Roman"/>
                <w:i/>
                <w:sz w:val="24"/>
              </w:rPr>
              <w:t>Beauveria</w:t>
            </w:r>
            <w:r>
              <w:rPr>
                <w:rFonts w:ascii="Times New Roman" w:eastAsia="Times New Roman" w:hAnsi="Times New Roman"/>
                <w:i/>
                <w:sz w:val="24"/>
              </w:rPr>
              <w:t>bassiana</w:t>
            </w:r>
          </w:p>
        </w:tc>
      </w:tr>
      <w:tr w:rsidR="0030061E" w:rsidTr="007F4BE3">
        <w:tc>
          <w:tcPr>
            <w:tcW w:w="817"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3</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Rice black bug aphid</w:t>
            </w:r>
          </w:p>
        </w:tc>
        <w:tc>
          <w:tcPr>
            <w:tcW w:w="3322" w:type="dxa"/>
          </w:tcPr>
          <w:p w:rsidR="0030061E" w:rsidRPr="00C45E1C" w:rsidRDefault="0030061E" w:rsidP="007F4BE3">
            <w:pPr>
              <w:spacing w:line="360" w:lineRule="auto"/>
              <w:jc w:val="both"/>
              <w:rPr>
                <w:rFonts w:ascii="Times New Roman" w:eastAsia="Times New Roman" w:hAnsi="Times New Roman"/>
                <w:i/>
                <w:sz w:val="24"/>
              </w:rPr>
            </w:pPr>
            <w:r w:rsidRPr="00C45E1C">
              <w:rPr>
                <w:rFonts w:ascii="Times New Roman" w:eastAsia="Times New Roman" w:hAnsi="Times New Roman"/>
                <w:i/>
                <w:sz w:val="24"/>
              </w:rPr>
              <w:t>Entomophthora sphaerosperma</w:t>
            </w:r>
          </w:p>
        </w:tc>
      </w:tr>
      <w:tr w:rsidR="0030061E" w:rsidTr="007F4BE3">
        <w:tc>
          <w:tcPr>
            <w:tcW w:w="817"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4</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Spittle bug of sugarcane, Coconut pest, Pasture cockchafer, black vine weevil</w:t>
            </w:r>
          </w:p>
        </w:tc>
        <w:tc>
          <w:tcPr>
            <w:tcW w:w="3322" w:type="dxa"/>
          </w:tcPr>
          <w:p w:rsidR="0030061E" w:rsidRDefault="0030061E" w:rsidP="007F4BE3">
            <w:pPr>
              <w:spacing w:line="360" w:lineRule="auto"/>
              <w:jc w:val="both"/>
              <w:rPr>
                <w:rFonts w:ascii="Times New Roman" w:eastAsia="Times New Roman" w:hAnsi="Times New Roman"/>
                <w:sz w:val="24"/>
              </w:rPr>
            </w:pPr>
            <w:r w:rsidRPr="00C45E1C">
              <w:rPr>
                <w:rFonts w:ascii="Times New Roman" w:eastAsia="Times New Roman" w:hAnsi="Times New Roman"/>
                <w:i/>
                <w:sz w:val="24"/>
              </w:rPr>
              <w:t>Metarrhizium</w:t>
            </w:r>
            <w:r>
              <w:rPr>
                <w:rFonts w:ascii="Times New Roman" w:eastAsia="Times New Roman" w:hAnsi="Times New Roman"/>
                <w:i/>
                <w:sz w:val="24"/>
              </w:rPr>
              <w:t>anisopliae</w:t>
            </w:r>
          </w:p>
        </w:tc>
      </w:tr>
      <w:tr w:rsidR="0030061E" w:rsidTr="007F4BE3">
        <w:tc>
          <w:tcPr>
            <w:tcW w:w="817"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5</w:t>
            </w:r>
          </w:p>
        </w:tc>
        <w:tc>
          <w:tcPr>
            <w:tcW w:w="5103" w:type="dxa"/>
          </w:tcPr>
          <w:p w:rsidR="0030061E" w:rsidRDefault="0030061E" w:rsidP="007F4BE3">
            <w:pPr>
              <w:spacing w:line="360" w:lineRule="auto"/>
              <w:jc w:val="both"/>
              <w:rPr>
                <w:rFonts w:ascii="Times New Roman" w:eastAsia="Times New Roman" w:hAnsi="Times New Roman"/>
                <w:sz w:val="24"/>
              </w:rPr>
            </w:pPr>
            <w:r>
              <w:rPr>
                <w:rFonts w:ascii="Times New Roman" w:eastAsia="Times New Roman" w:hAnsi="Times New Roman"/>
                <w:sz w:val="24"/>
              </w:rPr>
              <w:t>Aphids and white fly of glasshouse crops</w:t>
            </w:r>
          </w:p>
        </w:tc>
        <w:tc>
          <w:tcPr>
            <w:tcW w:w="3322" w:type="dxa"/>
          </w:tcPr>
          <w:p w:rsidR="0030061E" w:rsidRDefault="0030061E" w:rsidP="007F4BE3">
            <w:pPr>
              <w:spacing w:line="360" w:lineRule="auto"/>
              <w:jc w:val="both"/>
              <w:rPr>
                <w:rFonts w:ascii="Times New Roman" w:eastAsia="Times New Roman" w:hAnsi="Times New Roman"/>
                <w:sz w:val="24"/>
              </w:rPr>
            </w:pPr>
            <w:r w:rsidRPr="00C45E1C">
              <w:rPr>
                <w:rFonts w:ascii="Times New Roman" w:eastAsia="Times New Roman" w:hAnsi="Times New Roman"/>
                <w:i/>
                <w:sz w:val="24"/>
              </w:rPr>
              <w:t>Verticilliu</w:t>
            </w:r>
            <w:r>
              <w:rPr>
                <w:rFonts w:ascii="Times New Roman" w:eastAsia="Times New Roman" w:hAnsi="Times New Roman"/>
                <w:i/>
                <w:sz w:val="24"/>
              </w:rPr>
              <w:t>mlecanii</w:t>
            </w:r>
          </w:p>
        </w:tc>
      </w:tr>
    </w:tbl>
    <w:p w:rsidR="0030061E" w:rsidRPr="002951BD" w:rsidRDefault="0030061E" w:rsidP="0030061E">
      <w:pPr>
        <w:spacing w:after="0" w:line="360" w:lineRule="auto"/>
        <w:jc w:val="both"/>
        <w:rPr>
          <w:rFonts w:ascii="Times New Roman" w:eastAsia="Times New Roman" w:hAnsi="Times New Roman"/>
          <w:sz w:val="24"/>
        </w:rPr>
      </w:pPr>
    </w:p>
    <w:p w:rsidR="0030061E" w:rsidRPr="00E1178A" w:rsidRDefault="0030061E" w:rsidP="0030061E">
      <w:pPr>
        <w:spacing w:after="0" w:line="360" w:lineRule="auto"/>
        <w:jc w:val="both"/>
        <w:rPr>
          <w:rFonts w:ascii="Times New Roman" w:eastAsia="Times New Roman" w:hAnsi="Times New Roman" w:cs="Times New Roman"/>
          <w:sz w:val="24"/>
          <w:szCs w:val="24"/>
        </w:rPr>
      </w:pPr>
      <w:r w:rsidRPr="00E1178A">
        <w:rPr>
          <w:rFonts w:ascii="Times New Roman" w:eastAsia="Times New Roman" w:hAnsi="Times New Roman" w:cs="Times New Roman"/>
          <w:sz w:val="24"/>
          <w:szCs w:val="24"/>
        </w:rPr>
        <w:t xml:space="preserve">Mycofungicides </w:t>
      </w:r>
    </w:p>
    <w:p w:rsidR="0030061E" w:rsidRPr="000323C7" w:rsidRDefault="0030061E" w:rsidP="0030061E">
      <w:pPr>
        <w:spacing w:after="0" w:line="360" w:lineRule="auto"/>
        <w:jc w:val="both"/>
        <w:rPr>
          <w:rFonts w:ascii="Times New Roman" w:hAnsi="Times New Roman" w:cs="Times New Roman"/>
          <w:sz w:val="24"/>
          <w:szCs w:val="24"/>
        </w:rPr>
      </w:pPr>
      <w:r w:rsidRPr="000323C7">
        <w:rPr>
          <w:rFonts w:ascii="Times New Roman" w:hAnsi="Times New Roman" w:cs="Times New Roman"/>
          <w:sz w:val="24"/>
          <w:szCs w:val="24"/>
        </w:rPr>
        <w:t xml:space="preserve">Mycofungicides have been promoted for agricultural use because of their ability to control plant diseases and their ability to increase crop production in an environmentally friendly manner. In recent years several mycofungicides have been patented and registered for plant disease control. Several effective mycofungicides have been formulated for commercial production. Formulation of mycofungicides includes wettable powders and granules; these being applied to seeds, seedlings and mature plants. Examples are Ketomium, formulated from </w:t>
      </w:r>
      <w:r w:rsidRPr="002523AC">
        <w:rPr>
          <w:rFonts w:ascii="Times New Roman" w:hAnsi="Times New Roman" w:cs="Times New Roman"/>
          <w:i/>
          <w:sz w:val="24"/>
          <w:szCs w:val="24"/>
        </w:rPr>
        <w:t>Chaetomium globosum</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Ch. cupreum</w:t>
      </w:r>
      <w:r w:rsidRPr="000323C7">
        <w:rPr>
          <w:rFonts w:ascii="Times New Roman" w:hAnsi="Times New Roman" w:cs="Times New Roman"/>
          <w:sz w:val="24"/>
          <w:szCs w:val="24"/>
        </w:rPr>
        <w:t xml:space="preserve">, Promote formulated from </w:t>
      </w:r>
      <w:r w:rsidRPr="002523AC">
        <w:rPr>
          <w:rFonts w:ascii="Times New Roman" w:hAnsi="Times New Roman" w:cs="Times New Roman"/>
          <w:i/>
          <w:sz w:val="24"/>
          <w:szCs w:val="24"/>
        </w:rPr>
        <w:t>Trichoderma harzianum</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T. viride</w:t>
      </w:r>
      <w:r w:rsidRPr="000323C7">
        <w:rPr>
          <w:rFonts w:ascii="Times New Roman" w:hAnsi="Times New Roman" w:cs="Times New Roman"/>
          <w:sz w:val="24"/>
          <w:szCs w:val="24"/>
        </w:rPr>
        <w:t>, Soil</w:t>
      </w:r>
      <w:r>
        <w:rPr>
          <w:rFonts w:ascii="Times New Roman" w:hAnsi="Times New Roman" w:cs="Times New Roman"/>
          <w:sz w:val="24"/>
          <w:szCs w:val="24"/>
        </w:rPr>
        <w:t xml:space="preserve"> </w:t>
      </w:r>
      <w:r w:rsidRPr="000323C7">
        <w:rPr>
          <w:rFonts w:ascii="Times New Roman" w:hAnsi="Times New Roman" w:cs="Times New Roman"/>
          <w:sz w:val="24"/>
          <w:szCs w:val="24"/>
        </w:rPr>
        <w:t xml:space="preserve">Gard formulated from </w:t>
      </w:r>
      <w:r w:rsidRPr="002523AC">
        <w:rPr>
          <w:rFonts w:ascii="Times New Roman" w:hAnsi="Times New Roman" w:cs="Times New Roman"/>
          <w:i/>
          <w:sz w:val="24"/>
          <w:szCs w:val="24"/>
        </w:rPr>
        <w:t>Gliocladium virens</w:t>
      </w:r>
      <w:r w:rsidRPr="000323C7">
        <w:rPr>
          <w:rFonts w:ascii="Times New Roman" w:hAnsi="Times New Roman" w:cs="Times New Roman"/>
          <w:sz w:val="24"/>
          <w:szCs w:val="24"/>
        </w:rPr>
        <w:t xml:space="preserve">, and Trichodex from </w:t>
      </w:r>
      <w:r w:rsidRPr="002523AC">
        <w:rPr>
          <w:rFonts w:ascii="Times New Roman" w:hAnsi="Times New Roman" w:cs="Times New Roman"/>
          <w:i/>
          <w:sz w:val="24"/>
          <w:szCs w:val="24"/>
        </w:rPr>
        <w:t>T. harzianum</w:t>
      </w:r>
      <w:r w:rsidRPr="000323C7">
        <w:rPr>
          <w:rFonts w:ascii="Times New Roman" w:hAnsi="Times New Roman" w:cs="Times New Roman"/>
          <w:sz w:val="24"/>
          <w:szCs w:val="24"/>
        </w:rPr>
        <w:t xml:space="preserve">. </w:t>
      </w:r>
    </w:p>
    <w:p w:rsidR="0030061E" w:rsidRPr="000323C7" w:rsidRDefault="0030061E" w:rsidP="0030061E">
      <w:pPr>
        <w:spacing w:after="0" w:line="360" w:lineRule="auto"/>
        <w:jc w:val="both"/>
        <w:rPr>
          <w:rFonts w:ascii="Times New Roman" w:eastAsia="Times New Roman" w:hAnsi="Times New Roman" w:cs="Times New Roman"/>
          <w:color w:val="FF0000"/>
          <w:sz w:val="24"/>
          <w:szCs w:val="24"/>
        </w:rPr>
      </w:pPr>
      <w:r w:rsidRPr="000323C7">
        <w:rPr>
          <w:rFonts w:ascii="Times New Roman" w:hAnsi="Times New Roman" w:cs="Times New Roman"/>
          <w:sz w:val="24"/>
          <w:szCs w:val="24"/>
        </w:rPr>
        <w:t xml:space="preserve">Microbial antagonists can suppress plant diseases and organisms that suppress pathogens can be referred to as biological control agents (BCA). Various fungal species can be used as biological control agents and may provide effective activity against various pathogenic microorganisms. Examples are </w:t>
      </w:r>
      <w:r w:rsidRPr="002523AC">
        <w:rPr>
          <w:rFonts w:ascii="Times New Roman" w:hAnsi="Times New Roman" w:cs="Times New Roman"/>
          <w:i/>
          <w:sz w:val="24"/>
          <w:szCs w:val="24"/>
        </w:rPr>
        <w:t>Trichoderma harzianum</w:t>
      </w:r>
      <w:r w:rsidRPr="000323C7">
        <w:rPr>
          <w:rFonts w:ascii="Times New Roman" w:hAnsi="Times New Roman" w:cs="Times New Roman"/>
          <w:sz w:val="24"/>
          <w:szCs w:val="24"/>
        </w:rPr>
        <w:t xml:space="preserve"> - a species with biocontrol potential against </w:t>
      </w:r>
      <w:r w:rsidRPr="002523AC">
        <w:rPr>
          <w:rFonts w:ascii="Times New Roman" w:hAnsi="Times New Roman" w:cs="Times New Roman"/>
          <w:i/>
          <w:sz w:val="24"/>
          <w:szCs w:val="24"/>
        </w:rPr>
        <w:t>Botrytis cineria</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t>Fusarium</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t>Pythium</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Rhizoctonia</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t>Ampelomyces quisqualis</w:t>
      </w:r>
      <w:r w:rsidRPr="000323C7">
        <w:rPr>
          <w:rFonts w:ascii="Times New Roman" w:hAnsi="Times New Roman" w:cs="Times New Roman"/>
          <w:sz w:val="24"/>
          <w:szCs w:val="24"/>
        </w:rPr>
        <w:t xml:space="preserve">, - a hyperparasite of powdery mildew; </w:t>
      </w:r>
      <w:r w:rsidRPr="002523AC">
        <w:rPr>
          <w:rFonts w:ascii="Times New Roman" w:hAnsi="Times New Roman" w:cs="Times New Roman"/>
          <w:i/>
          <w:sz w:val="24"/>
          <w:szCs w:val="24"/>
        </w:rPr>
        <w:t>Chaetomium globosum</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C. cupreum</w:t>
      </w:r>
      <w:r w:rsidRPr="000323C7">
        <w:rPr>
          <w:rFonts w:ascii="Times New Roman" w:hAnsi="Times New Roman" w:cs="Times New Roman"/>
          <w:sz w:val="24"/>
          <w:szCs w:val="24"/>
        </w:rPr>
        <w:t xml:space="preserve">, - having biocontrol activity against root rot disease caused by </w:t>
      </w:r>
      <w:r w:rsidRPr="002523AC">
        <w:rPr>
          <w:rFonts w:ascii="Times New Roman" w:hAnsi="Times New Roman" w:cs="Times New Roman"/>
          <w:i/>
          <w:sz w:val="24"/>
          <w:szCs w:val="24"/>
        </w:rPr>
        <w:t>Fusarium</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t>Phytophthora</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Pythium</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t>Gliocladium virens</w:t>
      </w:r>
      <w:r w:rsidRPr="000323C7">
        <w:rPr>
          <w:rFonts w:ascii="Times New Roman" w:hAnsi="Times New Roman" w:cs="Times New Roman"/>
          <w:sz w:val="24"/>
          <w:szCs w:val="24"/>
        </w:rPr>
        <w:t xml:space="preserve"> - effective biocontrol of soil borne pathogens; </w:t>
      </w:r>
      <w:r w:rsidRPr="002523AC">
        <w:rPr>
          <w:rFonts w:ascii="Times New Roman" w:hAnsi="Times New Roman" w:cs="Times New Roman"/>
          <w:i/>
          <w:sz w:val="24"/>
          <w:szCs w:val="24"/>
        </w:rPr>
        <w:t>Coniothyrium minitans</w:t>
      </w:r>
      <w:r w:rsidRPr="000323C7">
        <w:rPr>
          <w:rFonts w:ascii="Times New Roman" w:hAnsi="Times New Roman" w:cs="Times New Roman"/>
          <w:sz w:val="24"/>
          <w:szCs w:val="24"/>
        </w:rPr>
        <w:t xml:space="preserve"> - a mycoparasite of </w:t>
      </w:r>
      <w:r w:rsidRPr="002523AC">
        <w:rPr>
          <w:rFonts w:ascii="Times New Roman" w:hAnsi="Times New Roman" w:cs="Times New Roman"/>
          <w:i/>
          <w:sz w:val="24"/>
          <w:szCs w:val="24"/>
        </w:rPr>
        <w:t>Sclerotinia</w:t>
      </w:r>
      <w:r w:rsidRPr="000323C7">
        <w:rPr>
          <w:rFonts w:ascii="Times New Roman" w:hAnsi="Times New Roman" w:cs="Times New Roman"/>
          <w:sz w:val="24"/>
          <w:szCs w:val="24"/>
        </w:rPr>
        <w:t xml:space="preserve">; and </w:t>
      </w:r>
      <w:r w:rsidRPr="002523AC">
        <w:rPr>
          <w:rFonts w:ascii="Times New Roman" w:hAnsi="Times New Roman" w:cs="Times New Roman"/>
          <w:i/>
          <w:sz w:val="24"/>
          <w:szCs w:val="24"/>
        </w:rPr>
        <w:t>Fusarium oxysporum</w:t>
      </w:r>
      <w:r w:rsidRPr="000323C7">
        <w:rPr>
          <w:rFonts w:ascii="Times New Roman" w:hAnsi="Times New Roman" w:cs="Times New Roman"/>
          <w:sz w:val="24"/>
          <w:szCs w:val="24"/>
        </w:rPr>
        <w:t xml:space="preserve"> (nonpathogenic species) - having biocontrol potential against </w:t>
      </w:r>
      <w:r w:rsidRPr="002523AC">
        <w:rPr>
          <w:rFonts w:ascii="Times New Roman" w:hAnsi="Times New Roman" w:cs="Times New Roman"/>
          <w:i/>
          <w:sz w:val="24"/>
          <w:szCs w:val="24"/>
        </w:rPr>
        <w:t>Fusarium oxysporum</w:t>
      </w:r>
      <w:r w:rsidRPr="000323C7">
        <w:rPr>
          <w:rFonts w:ascii="Times New Roman" w:hAnsi="Times New Roman" w:cs="Times New Roman"/>
          <w:sz w:val="24"/>
          <w:szCs w:val="24"/>
        </w:rPr>
        <w:t xml:space="preserve">. An effective biological control agent should be genetically stable, effective at low concentrations, easy to mass produce in culture on inexpensive media, and be effective against a wide range of pathogens. The fungal biological control agent should also occur in an easily distributed form, be non-toxic to humans, have resistance to pesticides, be compatible with other treatments, and be non-pathogenic against the host plant. Several fungal taxa have been reported to be antagonist against plant pathogens and have been successfully formulated as mycofungicides or biological control products e.g. </w:t>
      </w:r>
      <w:r w:rsidRPr="002523AC">
        <w:rPr>
          <w:rFonts w:ascii="Times New Roman" w:hAnsi="Times New Roman" w:cs="Times New Roman"/>
          <w:i/>
          <w:sz w:val="24"/>
          <w:szCs w:val="24"/>
        </w:rPr>
        <w:t>Ampelomyces quisqualis, Aspergillus niger, Candida oleophila, Chaetomium cupreum, Ch. globosum, Coniohyrium minitans, Cryptococcus</w:t>
      </w:r>
      <w:r w:rsidRPr="000323C7">
        <w:rPr>
          <w:rFonts w:ascii="Times New Roman" w:hAnsi="Times New Roman" w:cs="Times New Roman"/>
          <w:sz w:val="24"/>
          <w:szCs w:val="24"/>
        </w:rPr>
        <w:t xml:space="preserve"> </w:t>
      </w:r>
      <w:r w:rsidRPr="002523AC">
        <w:rPr>
          <w:rFonts w:ascii="Times New Roman" w:hAnsi="Times New Roman" w:cs="Times New Roman"/>
          <w:i/>
          <w:sz w:val="24"/>
          <w:szCs w:val="24"/>
        </w:rPr>
        <w:lastRenderedPageBreak/>
        <w:t>albidus, Gliocladium virens, G. catenulatum, Fusarium oxysporum, Phlebiosis gigantean, Pythium oligandrum, Rhodotorula glutinis, Trichoderma harzianum, T. polysporum, T. viride</w:t>
      </w:r>
      <w:r w:rsidRPr="000323C7">
        <w:rPr>
          <w:rFonts w:ascii="Times New Roman" w:hAnsi="Times New Roman" w:cs="Times New Roman"/>
          <w:sz w:val="24"/>
          <w:szCs w:val="24"/>
        </w:rPr>
        <w:t>.</w:t>
      </w:r>
    </w:p>
    <w:p w:rsidR="005557EE" w:rsidRPr="0030061E" w:rsidRDefault="005557EE" w:rsidP="0030061E">
      <w:pPr>
        <w:rPr>
          <w:szCs w:val="24"/>
        </w:rPr>
      </w:pPr>
    </w:p>
    <w:sectPr w:rsidR="005557EE" w:rsidRPr="0030061E" w:rsidSect="00272C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C8" w:rsidRDefault="006666C8" w:rsidP="00092021">
      <w:pPr>
        <w:spacing w:after="0" w:line="240" w:lineRule="auto"/>
      </w:pPr>
      <w:r>
        <w:separator/>
      </w:r>
    </w:p>
  </w:endnote>
  <w:endnote w:type="continuationSeparator" w:id="1">
    <w:p w:rsidR="006666C8" w:rsidRDefault="006666C8"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C8" w:rsidRDefault="006666C8" w:rsidP="00092021">
      <w:pPr>
        <w:spacing w:after="0" w:line="240" w:lineRule="auto"/>
      </w:pPr>
      <w:r>
        <w:separator/>
      </w:r>
    </w:p>
  </w:footnote>
  <w:footnote w:type="continuationSeparator" w:id="1">
    <w:p w:rsidR="006666C8" w:rsidRDefault="006666C8"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F1DD1"/>
    <w:multiLevelType w:val="hybridMultilevel"/>
    <w:tmpl w:val="1652C2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5">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6">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8C90109"/>
    <w:multiLevelType w:val="hybridMultilevel"/>
    <w:tmpl w:val="66763D7E"/>
    <w:lvl w:ilvl="0" w:tplc="C51094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E71ABD"/>
    <w:multiLevelType w:val="hybridMultilevel"/>
    <w:tmpl w:val="3B7679C6"/>
    <w:lvl w:ilvl="0" w:tplc="27CAF2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6">
    <w:nsid w:val="36BA2E35"/>
    <w:multiLevelType w:val="hybridMultilevel"/>
    <w:tmpl w:val="5B565E14"/>
    <w:lvl w:ilvl="0" w:tplc="48D808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1411D1"/>
    <w:multiLevelType w:val="hybridMultilevel"/>
    <w:tmpl w:val="505411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2">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6">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1">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28E0593"/>
    <w:multiLevelType w:val="hybridMultilevel"/>
    <w:tmpl w:val="AB70951A"/>
    <w:lvl w:ilvl="0" w:tplc="0FD6C0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D62F8D"/>
    <w:multiLevelType w:val="hybridMultilevel"/>
    <w:tmpl w:val="5C3E35C2"/>
    <w:lvl w:ilvl="0" w:tplc="F0D47F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22"/>
  </w:num>
  <w:num w:numId="4">
    <w:abstractNumId w:val="17"/>
  </w:num>
  <w:num w:numId="5">
    <w:abstractNumId w:val="34"/>
  </w:num>
  <w:num w:numId="6">
    <w:abstractNumId w:val="23"/>
  </w:num>
  <w:num w:numId="7">
    <w:abstractNumId w:val="13"/>
  </w:num>
  <w:num w:numId="8">
    <w:abstractNumId w:val="24"/>
  </w:num>
  <w:num w:numId="9">
    <w:abstractNumId w:val="27"/>
  </w:num>
  <w:num w:numId="10">
    <w:abstractNumId w:val="3"/>
  </w:num>
  <w:num w:numId="11">
    <w:abstractNumId w:val="14"/>
  </w:num>
  <w:num w:numId="12">
    <w:abstractNumId w:val="33"/>
  </w:num>
  <w:num w:numId="13">
    <w:abstractNumId w:val="28"/>
  </w:num>
  <w:num w:numId="14">
    <w:abstractNumId w:val="18"/>
  </w:num>
  <w:num w:numId="15">
    <w:abstractNumId w:val="26"/>
  </w:num>
  <w:num w:numId="16">
    <w:abstractNumId w:val="8"/>
  </w:num>
  <w:num w:numId="17">
    <w:abstractNumId w:val="29"/>
  </w:num>
  <w:num w:numId="18">
    <w:abstractNumId w:val="31"/>
  </w:num>
  <w:num w:numId="19">
    <w:abstractNumId w:val="19"/>
  </w:num>
  <w:num w:numId="20">
    <w:abstractNumId w:val="2"/>
  </w:num>
  <w:num w:numId="21">
    <w:abstractNumId w:val="9"/>
  </w:num>
  <w:num w:numId="22">
    <w:abstractNumId w:val="30"/>
  </w:num>
  <w:num w:numId="23">
    <w:abstractNumId w:val="12"/>
  </w:num>
  <w:num w:numId="24">
    <w:abstractNumId w:val="4"/>
  </w:num>
  <w:num w:numId="25">
    <w:abstractNumId w:val="25"/>
  </w:num>
  <w:num w:numId="26">
    <w:abstractNumId w:val="7"/>
  </w:num>
  <w:num w:numId="27">
    <w:abstractNumId w:val="15"/>
  </w:num>
  <w:num w:numId="28">
    <w:abstractNumId w:val="21"/>
  </w:num>
  <w:num w:numId="29">
    <w:abstractNumId w:val="5"/>
  </w:num>
  <w:num w:numId="30">
    <w:abstractNumId w:val="16"/>
  </w:num>
  <w:num w:numId="31">
    <w:abstractNumId w:val="11"/>
  </w:num>
  <w:num w:numId="32">
    <w:abstractNumId w:val="35"/>
  </w:num>
  <w:num w:numId="33">
    <w:abstractNumId w:val="10"/>
  </w:num>
  <w:num w:numId="34">
    <w:abstractNumId w:val="32"/>
  </w:num>
  <w:num w:numId="35">
    <w:abstractNumId w:val="2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5317"/>
    <w:rsid w:val="0000697F"/>
    <w:rsid w:val="0003778B"/>
    <w:rsid w:val="00046E5A"/>
    <w:rsid w:val="0006737C"/>
    <w:rsid w:val="000747E7"/>
    <w:rsid w:val="00085FB6"/>
    <w:rsid w:val="00092021"/>
    <w:rsid w:val="000E4AE8"/>
    <w:rsid w:val="000E63EA"/>
    <w:rsid w:val="00121A4B"/>
    <w:rsid w:val="001439AF"/>
    <w:rsid w:val="00161F9F"/>
    <w:rsid w:val="00182CBC"/>
    <w:rsid w:val="001A64EF"/>
    <w:rsid w:val="001D5DBF"/>
    <w:rsid w:val="001F2F3A"/>
    <w:rsid w:val="002035F5"/>
    <w:rsid w:val="00250712"/>
    <w:rsid w:val="00260965"/>
    <w:rsid w:val="00272CC2"/>
    <w:rsid w:val="002B053F"/>
    <w:rsid w:val="002D149C"/>
    <w:rsid w:val="002E6E48"/>
    <w:rsid w:val="002F7D31"/>
    <w:rsid w:val="0030061E"/>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15813"/>
    <w:rsid w:val="00434038"/>
    <w:rsid w:val="00436341"/>
    <w:rsid w:val="004406DA"/>
    <w:rsid w:val="00485337"/>
    <w:rsid w:val="0049196B"/>
    <w:rsid w:val="004B6DDA"/>
    <w:rsid w:val="004C1343"/>
    <w:rsid w:val="004F6BD5"/>
    <w:rsid w:val="004F6E6D"/>
    <w:rsid w:val="00541D7A"/>
    <w:rsid w:val="00550BAA"/>
    <w:rsid w:val="005557EE"/>
    <w:rsid w:val="00575C2F"/>
    <w:rsid w:val="0059042B"/>
    <w:rsid w:val="005A392E"/>
    <w:rsid w:val="005F59D3"/>
    <w:rsid w:val="00600BBF"/>
    <w:rsid w:val="006406B7"/>
    <w:rsid w:val="006666C8"/>
    <w:rsid w:val="006702C2"/>
    <w:rsid w:val="006713BE"/>
    <w:rsid w:val="00676579"/>
    <w:rsid w:val="006B385D"/>
    <w:rsid w:val="006B61E1"/>
    <w:rsid w:val="006B7E02"/>
    <w:rsid w:val="006D0E94"/>
    <w:rsid w:val="006F0488"/>
    <w:rsid w:val="006F210D"/>
    <w:rsid w:val="00725A42"/>
    <w:rsid w:val="00745FDF"/>
    <w:rsid w:val="00790A36"/>
    <w:rsid w:val="007A57AA"/>
    <w:rsid w:val="007B2DDA"/>
    <w:rsid w:val="007D2DD3"/>
    <w:rsid w:val="00825FFA"/>
    <w:rsid w:val="008B2C62"/>
    <w:rsid w:val="008C10FD"/>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90470"/>
    <w:rsid w:val="00B910C4"/>
    <w:rsid w:val="00BB6342"/>
    <w:rsid w:val="00BD484D"/>
    <w:rsid w:val="00BE766C"/>
    <w:rsid w:val="00C54CD5"/>
    <w:rsid w:val="00C622B2"/>
    <w:rsid w:val="00C77D13"/>
    <w:rsid w:val="00C96ED2"/>
    <w:rsid w:val="00CA45A0"/>
    <w:rsid w:val="00CA5398"/>
    <w:rsid w:val="00CA7D62"/>
    <w:rsid w:val="00CC11FE"/>
    <w:rsid w:val="00CC3DA3"/>
    <w:rsid w:val="00CD7AC0"/>
    <w:rsid w:val="00CE46AE"/>
    <w:rsid w:val="00CF0CC7"/>
    <w:rsid w:val="00D555B5"/>
    <w:rsid w:val="00D63D17"/>
    <w:rsid w:val="00D92F20"/>
    <w:rsid w:val="00DC389B"/>
    <w:rsid w:val="00DF0895"/>
    <w:rsid w:val="00E14DB2"/>
    <w:rsid w:val="00E8346B"/>
    <w:rsid w:val="00E9324C"/>
    <w:rsid w:val="00EC52D2"/>
    <w:rsid w:val="00F163C9"/>
    <w:rsid w:val="00F26D73"/>
    <w:rsid w:val="00F66940"/>
    <w:rsid w:val="00F76778"/>
    <w:rsid w:val="00F83CBA"/>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2021-05-09T14:09:00Z</dcterms:created>
  <dcterms:modified xsi:type="dcterms:W3CDTF">2021-07-17T06:40:00Z</dcterms:modified>
</cp:coreProperties>
</file>