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8ED" w:rsidRPr="00D528ED" w:rsidRDefault="00D528ED" w:rsidP="00D528ED">
      <w:pPr>
        <w:pBdr>
          <w:bottom w:val="single" w:sz="4" w:space="0" w:color="A2A9B1"/>
        </w:pBdr>
        <w:spacing w:after="60" w:line="240" w:lineRule="auto"/>
        <w:jc w:val="both"/>
        <w:outlineLvl w:val="0"/>
        <w:rPr>
          <w:rFonts w:ascii="Times New Roman" w:eastAsia="Times New Roman" w:hAnsi="Times New Roman" w:cs="Times New Roman"/>
          <w:b/>
          <w:kern w:val="36"/>
          <w:sz w:val="24"/>
          <w:szCs w:val="24"/>
        </w:rPr>
      </w:pPr>
      <w:r w:rsidRPr="00D528ED">
        <w:rPr>
          <w:rFonts w:ascii="Times New Roman" w:eastAsia="Times New Roman" w:hAnsi="Times New Roman" w:cs="Times New Roman"/>
          <w:b/>
          <w:kern w:val="36"/>
          <w:sz w:val="24"/>
          <w:szCs w:val="24"/>
        </w:rPr>
        <w:t>The General Crisis</w:t>
      </w:r>
      <w:r>
        <w:rPr>
          <w:rFonts w:ascii="Times New Roman" w:eastAsia="Times New Roman" w:hAnsi="Times New Roman" w:cs="Times New Roman"/>
          <w:b/>
          <w:kern w:val="36"/>
          <w:sz w:val="24"/>
          <w:szCs w:val="24"/>
        </w:rPr>
        <w:t xml:space="preserve"> of 17</w:t>
      </w:r>
      <w:r w:rsidRPr="00D528ED">
        <w:rPr>
          <w:rFonts w:ascii="Times New Roman" w:eastAsia="Times New Roman" w:hAnsi="Times New Roman" w:cs="Times New Roman"/>
          <w:b/>
          <w:kern w:val="36"/>
          <w:sz w:val="24"/>
          <w:szCs w:val="24"/>
          <w:vertAlign w:val="superscript"/>
        </w:rPr>
        <w:t>th</w:t>
      </w:r>
      <w:r>
        <w:rPr>
          <w:rFonts w:ascii="Times New Roman" w:eastAsia="Times New Roman" w:hAnsi="Times New Roman" w:cs="Times New Roman"/>
          <w:b/>
          <w:kern w:val="36"/>
          <w:sz w:val="24"/>
          <w:szCs w:val="24"/>
        </w:rPr>
        <w:t xml:space="preserve"> Century Europe</w:t>
      </w:r>
    </w:p>
    <w:p w:rsidR="00D528ED" w:rsidRPr="00D528ED" w:rsidRDefault="00D528ED" w:rsidP="00D528ED">
      <w:pPr>
        <w:spacing w:before="120" w:after="120" w:line="240" w:lineRule="auto"/>
        <w:jc w:val="both"/>
        <w:rPr>
          <w:rFonts w:ascii="Times New Roman" w:eastAsia="Times New Roman" w:hAnsi="Times New Roman" w:cs="Times New Roman"/>
          <w:sz w:val="24"/>
          <w:szCs w:val="24"/>
          <w:lang/>
        </w:rPr>
      </w:pPr>
      <w:r w:rsidRPr="00D528ED">
        <w:rPr>
          <w:rFonts w:ascii="Times New Roman" w:eastAsia="Times New Roman" w:hAnsi="Times New Roman" w:cs="Times New Roman"/>
          <w:bCs/>
          <w:sz w:val="24"/>
          <w:szCs w:val="24"/>
          <w:lang/>
        </w:rPr>
        <w:t>The General Crisis</w:t>
      </w:r>
      <w:r w:rsidRPr="00D528ED">
        <w:rPr>
          <w:rFonts w:ascii="Times New Roman" w:eastAsia="Times New Roman" w:hAnsi="Times New Roman" w:cs="Times New Roman"/>
          <w:sz w:val="24"/>
          <w:szCs w:val="24"/>
          <w:lang/>
        </w:rPr>
        <w:t> is a term used by some historians to describe the period of widespread global conflict and instability that occurred from the early 17th century to the early 18th century in </w:t>
      </w:r>
      <w:hyperlink r:id="rId5" w:tooltip="Europe" w:history="1">
        <w:r w:rsidRPr="00D528ED">
          <w:rPr>
            <w:rFonts w:ascii="Times New Roman" w:eastAsia="Times New Roman" w:hAnsi="Times New Roman" w:cs="Times New Roman"/>
            <w:sz w:val="24"/>
            <w:szCs w:val="24"/>
            <w:u w:val="single"/>
            <w:lang/>
          </w:rPr>
          <w:t>Europe</w:t>
        </w:r>
      </w:hyperlink>
      <w:r w:rsidRPr="00D528ED">
        <w:rPr>
          <w:rFonts w:ascii="Times New Roman" w:eastAsia="Times New Roman" w:hAnsi="Times New Roman" w:cs="Times New Roman"/>
          <w:sz w:val="24"/>
          <w:szCs w:val="24"/>
          <w:lang/>
        </w:rPr>
        <w:t> and in more recent historiography in the world at large</w:t>
      </w:r>
      <w:r w:rsidRPr="00D528ED">
        <w:rPr>
          <w:rFonts w:ascii="Times New Roman" w:eastAsia="Times New Roman" w:hAnsi="Times New Roman" w:cs="Times New Roman"/>
          <w:sz w:val="24"/>
          <w:szCs w:val="24"/>
          <w:u w:val="single"/>
          <w:vertAlign w:val="superscript"/>
          <w:lang/>
        </w:rPr>
        <w:t>.</w:t>
      </w:r>
    </w:p>
    <w:p w:rsidR="00D528ED" w:rsidRPr="00D528ED" w:rsidRDefault="00D528ED" w:rsidP="00D528ED">
      <w:pPr>
        <w:spacing w:before="120" w:after="120" w:line="240" w:lineRule="auto"/>
        <w:jc w:val="both"/>
        <w:rPr>
          <w:rFonts w:ascii="Times New Roman" w:eastAsia="Times New Roman" w:hAnsi="Times New Roman" w:cs="Times New Roman"/>
          <w:sz w:val="24"/>
          <w:szCs w:val="24"/>
          <w:lang/>
        </w:rPr>
      </w:pPr>
      <w:r w:rsidRPr="00D528ED">
        <w:rPr>
          <w:rFonts w:ascii="Times New Roman" w:eastAsia="Times New Roman" w:hAnsi="Times New Roman" w:cs="Times New Roman"/>
          <w:sz w:val="24"/>
          <w:szCs w:val="24"/>
          <w:lang/>
        </w:rPr>
        <w:t>The term was coined by </w:t>
      </w:r>
      <w:hyperlink r:id="rId6" w:tooltip="Eric Hobsbawm" w:history="1">
        <w:r w:rsidRPr="00D528ED">
          <w:rPr>
            <w:rFonts w:ascii="Times New Roman" w:eastAsia="Times New Roman" w:hAnsi="Times New Roman" w:cs="Times New Roman"/>
            <w:sz w:val="24"/>
            <w:szCs w:val="24"/>
            <w:u w:val="single"/>
            <w:lang/>
          </w:rPr>
          <w:t xml:space="preserve">Eric </w:t>
        </w:r>
        <w:proofErr w:type="spellStart"/>
        <w:r w:rsidRPr="00D528ED">
          <w:rPr>
            <w:rFonts w:ascii="Times New Roman" w:eastAsia="Times New Roman" w:hAnsi="Times New Roman" w:cs="Times New Roman"/>
            <w:sz w:val="24"/>
            <w:szCs w:val="24"/>
            <w:u w:val="single"/>
            <w:lang/>
          </w:rPr>
          <w:t>Hobsbawm</w:t>
        </w:r>
        <w:proofErr w:type="spellEnd"/>
      </w:hyperlink>
      <w:r w:rsidRPr="00D528ED">
        <w:rPr>
          <w:rFonts w:ascii="Times New Roman" w:eastAsia="Times New Roman" w:hAnsi="Times New Roman" w:cs="Times New Roman"/>
          <w:sz w:val="24"/>
          <w:szCs w:val="24"/>
          <w:lang/>
        </w:rPr>
        <w:t> in his pair of 1954 articles, "The Crisis of the Seventeenth Century", published in </w:t>
      </w:r>
      <w:hyperlink r:id="rId7" w:tooltip="Past and Present (journal)" w:history="1">
        <w:r w:rsidRPr="00D528ED">
          <w:rPr>
            <w:rFonts w:ascii="Times New Roman" w:eastAsia="Times New Roman" w:hAnsi="Times New Roman" w:cs="Times New Roman"/>
            <w:i/>
            <w:iCs/>
            <w:sz w:val="24"/>
            <w:szCs w:val="24"/>
            <w:u w:val="single"/>
            <w:lang/>
          </w:rPr>
          <w:t>Past and Present</w:t>
        </w:r>
      </w:hyperlink>
      <w:r w:rsidRPr="00D528ED">
        <w:rPr>
          <w:rFonts w:ascii="Times New Roman" w:eastAsia="Times New Roman" w:hAnsi="Times New Roman" w:cs="Times New Roman"/>
          <w:sz w:val="24"/>
          <w:szCs w:val="24"/>
          <w:lang/>
        </w:rPr>
        <w:t xml:space="preserve">. </w:t>
      </w:r>
    </w:p>
    <w:p w:rsidR="00D528ED" w:rsidRPr="00D528ED" w:rsidRDefault="00D528ED" w:rsidP="00D528ED">
      <w:pPr>
        <w:pBdr>
          <w:bottom w:val="single" w:sz="4" w:space="0" w:color="A2A9B1"/>
        </w:pBdr>
        <w:spacing w:before="240" w:after="60" w:line="240" w:lineRule="auto"/>
        <w:jc w:val="both"/>
        <w:outlineLvl w:val="1"/>
        <w:rPr>
          <w:rFonts w:ascii="Times New Roman" w:eastAsia="Times New Roman" w:hAnsi="Times New Roman" w:cs="Times New Roman"/>
          <w:b/>
          <w:sz w:val="24"/>
          <w:szCs w:val="24"/>
          <w:lang/>
        </w:rPr>
      </w:pPr>
      <w:r w:rsidRPr="00D528ED">
        <w:rPr>
          <w:rFonts w:ascii="Times New Roman" w:eastAsia="Times New Roman" w:hAnsi="Times New Roman" w:cs="Times New Roman"/>
          <w:b/>
          <w:sz w:val="24"/>
          <w:szCs w:val="24"/>
          <w:lang/>
        </w:rPr>
        <w:t>Definition</w:t>
      </w:r>
    </w:p>
    <w:p w:rsidR="00D528ED" w:rsidRPr="00D528ED" w:rsidRDefault="00D528ED" w:rsidP="00D528ED">
      <w:pPr>
        <w:spacing w:before="120" w:after="120" w:line="240" w:lineRule="auto"/>
        <w:jc w:val="both"/>
        <w:rPr>
          <w:rFonts w:ascii="Times New Roman" w:eastAsia="Times New Roman" w:hAnsi="Times New Roman" w:cs="Times New Roman"/>
          <w:sz w:val="24"/>
          <w:szCs w:val="24"/>
          <w:lang/>
        </w:rPr>
      </w:pPr>
      <w:r w:rsidRPr="00D528ED">
        <w:rPr>
          <w:rFonts w:ascii="Times New Roman" w:eastAsia="Times New Roman" w:hAnsi="Times New Roman" w:cs="Times New Roman"/>
          <w:sz w:val="24"/>
          <w:szCs w:val="24"/>
          <w:lang/>
        </w:rPr>
        <w:t xml:space="preserve">As a </w:t>
      </w:r>
      <w:proofErr w:type="spellStart"/>
      <w:r w:rsidRPr="00D528ED">
        <w:rPr>
          <w:rFonts w:ascii="Times New Roman" w:eastAsia="Times New Roman" w:hAnsi="Times New Roman" w:cs="Times New Roman"/>
          <w:sz w:val="24"/>
          <w:szCs w:val="24"/>
          <w:lang/>
        </w:rPr>
        <w:t>historiographic</w:t>
      </w:r>
      <w:proofErr w:type="spellEnd"/>
      <w:r w:rsidRPr="00D528ED">
        <w:rPr>
          <w:rFonts w:ascii="Times New Roman" w:eastAsia="Times New Roman" w:hAnsi="Times New Roman" w:cs="Times New Roman"/>
          <w:sz w:val="24"/>
          <w:szCs w:val="24"/>
          <w:lang/>
        </w:rPr>
        <w:t xml:space="preserve"> concept, the place of the general crisis was cemented by </w:t>
      </w:r>
      <w:hyperlink r:id="rId8" w:tooltip="Hugh Trevor-Roper" w:history="1">
        <w:r w:rsidRPr="00D528ED">
          <w:rPr>
            <w:rFonts w:ascii="Times New Roman" w:eastAsia="Times New Roman" w:hAnsi="Times New Roman" w:cs="Times New Roman"/>
            <w:sz w:val="24"/>
            <w:szCs w:val="24"/>
            <w:u w:val="single"/>
            <w:lang/>
          </w:rPr>
          <w:t>Hugh Trevor-Roper</w:t>
        </w:r>
      </w:hyperlink>
      <w:r w:rsidRPr="00D528ED">
        <w:rPr>
          <w:rFonts w:ascii="Times New Roman" w:eastAsia="Times New Roman" w:hAnsi="Times New Roman" w:cs="Times New Roman"/>
          <w:sz w:val="24"/>
          <w:szCs w:val="24"/>
          <w:lang/>
        </w:rPr>
        <w:t xml:space="preserve"> in a 1959 article entitled "The General Crisis of the Seventeenth Century" published in the same journal. </w:t>
      </w:r>
      <w:proofErr w:type="spellStart"/>
      <w:r w:rsidRPr="00D528ED">
        <w:rPr>
          <w:rFonts w:ascii="Times New Roman" w:eastAsia="Times New Roman" w:hAnsi="Times New Roman" w:cs="Times New Roman"/>
          <w:sz w:val="24"/>
          <w:szCs w:val="24"/>
          <w:lang/>
        </w:rPr>
        <w:t>Hobsbawm</w:t>
      </w:r>
      <w:proofErr w:type="spellEnd"/>
      <w:r w:rsidRPr="00D528ED">
        <w:rPr>
          <w:rFonts w:ascii="Times New Roman" w:eastAsia="Times New Roman" w:hAnsi="Times New Roman" w:cs="Times New Roman"/>
          <w:sz w:val="24"/>
          <w:szCs w:val="24"/>
          <w:lang/>
        </w:rPr>
        <w:t xml:space="preserve"> discussed an economic crisis in Europe; Trevor-Roper saw a wider crisis, "a crisis in the relations between society and the State".</w:t>
      </w:r>
      <w:hyperlink r:id="rId9" w:anchor="cite_note-FOOTNOTEAston196567-2" w:history="1">
        <w:r w:rsidRPr="00D528ED">
          <w:rPr>
            <w:rFonts w:ascii="Times New Roman" w:eastAsia="Times New Roman" w:hAnsi="Times New Roman" w:cs="Times New Roman"/>
            <w:sz w:val="24"/>
            <w:szCs w:val="24"/>
            <w:u w:val="single"/>
            <w:vertAlign w:val="superscript"/>
            <w:lang/>
          </w:rPr>
          <w:t>[2]</w:t>
        </w:r>
      </w:hyperlink>
      <w:r w:rsidRPr="00D528ED">
        <w:rPr>
          <w:rFonts w:ascii="Times New Roman" w:eastAsia="Times New Roman" w:hAnsi="Times New Roman" w:cs="Times New Roman"/>
          <w:sz w:val="24"/>
          <w:szCs w:val="24"/>
          <w:lang/>
        </w:rPr>
        <w:t> Trevor-Roper argued that the middle years of the 17th century in Western Europe saw a widespread breakdown in politics, economics and society caused by a complex series of demographic, religious, economic and political problems. In the "general crisis", various events such as the </w:t>
      </w:r>
      <w:hyperlink r:id="rId10" w:tooltip="English Civil War" w:history="1">
        <w:r w:rsidRPr="00D528ED">
          <w:rPr>
            <w:rFonts w:ascii="Times New Roman" w:eastAsia="Times New Roman" w:hAnsi="Times New Roman" w:cs="Times New Roman"/>
            <w:sz w:val="24"/>
            <w:szCs w:val="24"/>
            <w:u w:val="single"/>
            <w:lang/>
          </w:rPr>
          <w:t>English Civil War</w:t>
        </w:r>
      </w:hyperlink>
      <w:r w:rsidRPr="00D528ED">
        <w:rPr>
          <w:rFonts w:ascii="Times New Roman" w:eastAsia="Times New Roman" w:hAnsi="Times New Roman" w:cs="Times New Roman"/>
          <w:sz w:val="24"/>
          <w:szCs w:val="24"/>
          <w:lang/>
        </w:rPr>
        <w:t>, the </w:t>
      </w:r>
      <w:proofErr w:type="spellStart"/>
      <w:r w:rsidRPr="00D528ED">
        <w:rPr>
          <w:rFonts w:ascii="Times New Roman" w:eastAsia="Times New Roman" w:hAnsi="Times New Roman" w:cs="Times New Roman"/>
          <w:sz w:val="24"/>
          <w:szCs w:val="24"/>
          <w:lang/>
        </w:rPr>
        <w:fldChar w:fldCharType="begin"/>
      </w:r>
      <w:r w:rsidRPr="00D528ED">
        <w:rPr>
          <w:rFonts w:ascii="Times New Roman" w:eastAsia="Times New Roman" w:hAnsi="Times New Roman" w:cs="Times New Roman"/>
          <w:sz w:val="24"/>
          <w:szCs w:val="24"/>
          <w:lang/>
        </w:rPr>
        <w:instrText xml:space="preserve"> HYPERLINK "https://en.wikipedia.org/wiki/Fronde" \o "Fronde" </w:instrText>
      </w:r>
      <w:r w:rsidRPr="00D528ED">
        <w:rPr>
          <w:rFonts w:ascii="Times New Roman" w:eastAsia="Times New Roman" w:hAnsi="Times New Roman" w:cs="Times New Roman"/>
          <w:sz w:val="24"/>
          <w:szCs w:val="24"/>
          <w:lang/>
        </w:rPr>
        <w:fldChar w:fldCharType="separate"/>
      </w:r>
      <w:r w:rsidRPr="00D528ED">
        <w:rPr>
          <w:rFonts w:ascii="Times New Roman" w:eastAsia="Times New Roman" w:hAnsi="Times New Roman" w:cs="Times New Roman"/>
          <w:sz w:val="24"/>
          <w:szCs w:val="24"/>
          <w:u w:val="single"/>
          <w:lang/>
        </w:rPr>
        <w:t>Fronde</w:t>
      </w:r>
      <w:proofErr w:type="spellEnd"/>
      <w:r w:rsidRPr="00D528ED">
        <w:rPr>
          <w:rFonts w:ascii="Times New Roman" w:eastAsia="Times New Roman" w:hAnsi="Times New Roman" w:cs="Times New Roman"/>
          <w:sz w:val="24"/>
          <w:szCs w:val="24"/>
          <w:lang/>
        </w:rPr>
        <w:fldChar w:fldCharType="end"/>
      </w:r>
      <w:r w:rsidRPr="00D528ED">
        <w:rPr>
          <w:rFonts w:ascii="Times New Roman" w:eastAsia="Times New Roman" w:hAnsi="Times New Roman" w:cs="Times New Roman"/>
          <w:sz w:val="24"/>
          <w:szCs w:val="24"/>
          <w:lang/>
        </w:rPr>
        <w:t> in </w:t>
      </w:r>
      <w:hyperlink r:id="rId11" w:tooltip="Kingdom of France" w:history="1">
        <w:r w:rsidRPr="00D528ED">
          <w:rPr>
            <w:rFonts w:ascii="Times New Roman" w:eastAsia="Times New Roman" w:hAnsi="Times New Roman" w:cs="Times New Roman"/>
            <w:sz w:val="24"/>
            <w:szCs w:val="24"/>
            <w:u w:val="single"/>
            <w:lang/>
          </w:rPr>
          <w:t>France</w:t>
        </w:r>
      </w:hyperlink>
      <w:r w:rsidRPr="00D528ED">
        <w:rPr>
          <w:rFonts w:ascii="Times New Roman" w:eastAsia="Times New Roman" w:hAnsi="Times New Roman" w:cs="Times New Roman"/>
          <w:sz w:val="24"/>
          <w:szCs w:val="24"/>
          <w:lang/>
        </w:rPr>
        <w:t>, the climax of the </w:t>
      </w:r>
      <w:hyperlink r:id="rId12" w:tooltip="Thirty Years' War" w:history="1">
        <w:r w:rsidRPr="00D528ED">
          <w:rPr>
            <w:rFonts w:ascii="Times New Roman" w:eastAsia="Times New Roman" w:hAnsi="Times New Roman" w:cs="Times New Roman"/>
            <w:sz w:val="24"/>
            <w:szCs w:val="24"/>
            <w:u w:val="single"/>
            <w:lang/>
          </w:rPr>
          <w:t>Thirty Years' War</w:t>
        </w:r>
      </w:hyperlink>
      <w:r w:rsidRPr="00D528ED">
        <w:rPr>
          <w:rFonts w:ascii="Times New Roman" w:eastAsia="Times New Roman" w:hAnsi="Times New Roman" w:cs="Times New Roman"/>
          <w:sz w:val="24"/>
          <w:szCs w:val="24"/>
          <w:lang/>
        </w:rPr>
        <w:t> in the </w:t>
      </w:r>
      <w:hyperlink r:id="rId13" w:tooltip="Holy Roman Empire" w:history="1">
        <w:r w:rsidRPr="00D528ED">
          <w:rPr>
            <w:rFonts w:ascii="Times New Roman" w:eastAsia="Times New Roman" w:hAnsi="Times New Roman" w:cs="Times New Roman"/>
            <w:sz w:val="24"/>
            <w:szCs w:val="24"/>
            <w:u w:val="single"/>
            <w:lang/>
          </w:rPr>
          <w:t>Holy Roman Empire</w:t>
        </w:r>
      </w:hyperlink>
      <w:r w:rsidRPr="00D528ED">
        <w:rPr>
          <w:rFonts w:ascii="Times New Roman" w:eastAsia="Times New Roman" w:hAnsi="Times New Roman" w:cs="Times New Roman"/>
          <w:sz w:val="24"/>
          <w:szCs w:val="24"/>
          <w:lang/>
        </w:rPr>
        <w:t> and revolts against the </w:t>
      </w:r>
      <w:hyperlink r:id="rId14" w:tooltip="List of Spanish monarchs" w:history="1">
        <w:r w:rsidRPr="00D528ED">
          <w:rPr>
            <w:rFonts w:ascii="Times New Roman" w:eastAsia="Times New Roman" w:hAnsi="Times New Roman" w:cs="Times New Roman"/>
            <w:sz w:val="24"/>
            <w:szCs w:val="24"/>
            <w:u w:val="single"/>
            <w:lang/>
          </w:rPr>
          <w:t>Spanish Crown</w:t>
        </w:r>
      </w:hyperlink>
      <w:r w:rsidRPr="00D528ED">
        <w:rPr>
          <w:rFonts w:ascii="Times New Roman" w:eastAsia="Times New Roman" w:hAnsi="Times New Roman" w:cs="Times New Roman"/>
          <w:sz w:val="24"/>
          <w:szCs w:val="24"/>
          <w:lang/>
        </w:rPr>
        <w:t> in </w:t>
      </w:r>
      <w:hyperlink r:id="rId15" w:tooltip="Kingdom of Portugal" w:history="1">
        <w:r w:rsidRPr="00D528ED">
          <w:rPr>
            <w:rFonts w:ascii="Times New Roman" w:eastAsia="Times New Roman" w:hAnsi="Times New Roman" w:cs="Times New Roman"/>
            <w:sz w:val="24"/>
            <w:szCs w:val="24"/>
            <w:u w:val="single"/>
            <w:lang/>
          </w:rPr>
          <w:t>Portugal</w:t>
        </w:r>
      </w:hyperlink>
      <w:r w:rsidRPr="00D528ED">
        <w:rPr>
          <w:rFonts w:ascii="Times New Roman" w:eastAsia="Times New Roman" w:hAnsi="Times New Roman" w:cs="Times New Roman"/>
          <w:sz w:val="24"/>
          <w:szCs w:val="24"/>
          <w:lang/>
        </w:rPr>
        <w:t>, </w:t>
      </w:r>
      <w:hyperlink r:id="rId16" w:tooltip="Naples" w:history="1">
        <w:r w:rsidRPr="00D528ED">
          <w:rPr>
            <w:rFonts w:ascii="Times New Roman" w:eastAsia="Times New Roman" w:hAnsi="Times New Roman" w:cs="Times New Roman"/>
            <w:sz w:val="24"/>
            <w:szCs w:val="24"/>
            <w:u w:val="single"/>
            <w:lang/>
          </w:rPr>
          <w:t>Naples</w:t>
        </w:r>
      </w:hyperlink>
      <w:r w:rsidRPr="00D528ED">
        <w:rPr>
          <w:rFonts w:ascii="Times New Roman" w:eastAsia="Times New Roman" w:hAnsi="Times New Roman" w:cs="Times New Roman"/>
          <w:sz w:val="24"/>
          <w:szCs w:val="24"/>
          <w:lang/>
        </w:rPr>
        <w:t> and </w:t>
      </w:r>
      <w:hyperlink r:id="rId17" w:tooltip="Catalonia" w:history="1">
        <w:r w:rsidRPr="00D528ED">
          <w:rPr>
            <w:rFonts w:ascii="Times New Roman" w:eastAsia="Times New Roman" w:hAnsi="Times New Roman" w:cs="Times New Roman"/>
            <w:sz w:val="24"/>
            <w:szCs w:val="24"/>
            <w:u w:val="single"/>
            <w:lang/>
          </w:rPr>
          <w:t>Catalonia</w:t>
        </w:r>
      </w:hyperlink>
      <w:r w:rsidRPr="00D528ED">
        <w:rPr>
          <w:rFonts w:ascii="Times New Roman" w:eastAsia="Times New Roman" w:hAnsi="Times New Roman" w:cs="Times New Roman"/>
          <w:sz w:val="24"/>
          <w:szCs w:val="24"/>
          <w:lang/>
        </w:rPr>
        <w:t> were all manifestations of the same problem. The most important cause of the "general crisis",</w:t>
      </w:r>
      <w:hyperlink r:id="rId18" w:anchor="cite_note-3" w:history="1">
        <w:r w:rsidRPr="00D528ED">
          <w:rPr>
            <w:rFonts w:ascii="Times New Roman" w:eastAsia="Times New Roman" w:hAnsi="Times New Roman" w:cs="Times New Roman"/>
            <w:sz w:val="24"/>
            <w:szCs w:val="24"/>
            <w:u w:val="single"/>
            <w:vertAlign w:val="superscript"/>
            <w:lang/>
          </w:rPr>
          <w:t>[3]</w:t>
        </w:r>
      </w:hyperlink>
      <w:r w:rsidRPr="00D528ED">
        <w:rPr>
          <w:rFonts w:ascii="Times New Roman" w:eastAsia="Times New Roman" w:hAnsi="Times New Roman" w:cs="Times New Roman"/>
          <w:sz w:val="24"/>
          <w:szCs w:val="24"/>
          <w:lang/>
        </w:rPr>
        <w:t xml:space="preserve"> in Trevor-Roper’s opinion, was the conflict between "Court" and "Country"; that is between the increasingly powerful </w:t>
      </w:r>
      <w:proofErr w:type="spellStart"/>
      <w:r w:rsidRPr="00D528ED">
        <w:rPr>
          <w:rFonts w:ascii="Times New Roman" w:eastAsia="Times New Roman" w:hAnsi="Times New Roman" w:cs="Times New Roman"/>
          <w:sz w:val="24"/>
          <w:szCs w:val="24"/>
          <w:lang/>
        </w:rPr>
        <w:t>centralising</w:t>
      </w:r>
      <w:proofErr w:type="spellEnd"/>
      <w:r w:rsidRPr="00D528ED">
        <w:rPr>
          <w:rFonts w:ascii="Times New Roman" w:eastAsia="Times New Roman" w:hAnsi="Times New Roman" w:cs="Times New Roman"/>
          <w:sz w:val="24"/>
          <w:szCs w:val="24"/>
          <w:lang/>
        </w:rPr>
        <w:t>, bureaucratic, sovereign princely states represented by the court, and the traditional, regional, land-based aristocracy and gentry representing the country. He saw the intellectual and religious changes introduced by the </w:t>
      </w:r>
      <w:hyperlink r:id="rId19" w:tooltip="Renaissance" w:history="1">
        <w:r w:rsidRPr="00D528ED">
          <w:rPr>
            <w:rFonts w:ascii="Times New Roman" w:eastAsia="Times New Roman" w:hAnsi="Times New Roman" w:cs="Times New Roman"/>
            <w:sz w:val="24"/>
            <w:szCs w:val="24"/>
            <w:u w:val="single"/>
            <w:lang/>
          </w:rPr>
          <w:t>Renaissance</w:t>
        </w:r>
      </w:hyperlink>
      <w:r w:rsidRPr="00D528ED">
        <w:rPr>
          <w:rFonts w:ascii="Times New Roman" w:eastAsia="Times New Roman" w:hAnsi="Times New Roman" w:cs="Times New Roman"/>
          <w:sz w:val="24"/>
          <w:szCs w:val="24"/>
          <w:lang/>
        </w:rPr>
        <w:t> and the </w:t>
      </w:r>
      <w:hyperlink r:id="rId20" w:tooltip="" w:history="1">
        <w:r w:rsidRPr="00D528ED">
          <w:rPr>
            <w:rFonts w:ascii="Times New Roman" w:eastAsia="Times New Roman" w:hAnsi="Times New Roman" w:cs="Times New Roman"/>
            <w:sz w:val="24"/>
            <w:szCs w:val="24"/>
            <w:u w:val="single"/>
            <w:lang/>
          </w:rPr>
          <w:t>Protestant Reformation</w:t>
        </w:r>
      </w:hyperlink>
      <w:r w:rsidRPr="00D528ED">
        <w:rPr>
          <w:rFonts w:ascii="Times New Roman" w:eastAsia="Times New Roman" w:hAnsi="Times New Roman" w:cs="Times New Roman"/>
          <w:sz w:val="24"/>
          <w:szCs w:val="24"/>
          <w:lang/>
        </w:rPr>
        <w:t> as important secondary causes of the "general crisis".</w:t>
      </w:r>
    </w:p>
    <w:p w:rsidR="00D528ED" w:rsidRPr="00D528ED" w:rsidRDefault="00D528ED" w:rsidP="00D528ED">
      <w:pPr>
        <w:spacing w:before="120" w:after="120" w:line="240" w:lineRule="auto"/>
        <w:jc w:val="both"/>
        <w:rPr>
          <w:rFonts w:ascii="Times New Roman" w:eastAsia="Times New Roman" w:hAnsi="Times New Roman" w:cs="Times New Roman"/>
          <w:sz w:val="24"/>
          <w:szCs w:val="24"/>
          <w:lang/>
        </w:rPr>
      </w:pPr>
      <w:r w:rsidRPr="00D528ED">
        <w:rPr>
          <w:rFonts w:ascii="Times New Roman" w:eastAsia="Times New Roman" w:hAnsi="Times New Roman" w:cs="Times New Roman"/>
          <w:sz w:val="24"/>
          <w:szCs w:val="24"/>
          <w:lang/>
        </w:rPr>
        <w:t xml:space="preserve">There were various controversies regarding the "general crisis" thesis between historians. Some simply denied the existence of any such crisis. For instance, </w:t>
      </w:r>
      <w:proofErr w:type="spellStart"/>
      <w:r w:rsidRPr="00D528ED">
        <w:rPr>
          <w:rFonts w:ascii="Times New Roman" w:eastAsia="Times New Roman" w:hAnsi="Times New Roman" w:cs="Times New Roman"/>
          <w:sz w:val="24"/>
          <w:szCs w:val="24"/>
          <w:lang/>
        </w:rPr>
        <w:t>Hobsbawm</w:t>
      </w:r>
      <w:proofErr w:type="spellEnd"/>
      <w:r w:rsidRPr="00D528ED">
        <w:rPr>
          <w:rFonts w:ascii="Times New Roman" w:eastAsia="Times New Roman" w:hAnsi="Times New Roman" w:cs="Times New Roman"/>
          <w:sz w:val="24"/>
          <w:szCs w:val="24"/>
          <w:lang/>
        </w:rPr>
        <w:t xml:space="preserve"> saw the problems of 17th-century Europe as being social and economic in origin, an emphasis that Trevor-Roper would not concede. Instead, he </w:t>
      </w:r>
      <w:proofErr w:type="spellStart"/>
      <w:r w:rsidRPr="00D528ED">
        <w:rPr>
          <w:rFonts w:ascii="Times New Roman" w:eastAsia="Times New Roman" w:hAnsi="Times New Roman" w:cs="Times New Roman"/>
          <w:sz w:val="24"/>
          <w:szCs w:val="24"/>
          <w:lang/>
        </w:rPr>
        <w:t>theorised</w:t>
      </w:r>
      <w:proofErr w:type="spellEnd"/>
      <w:r w:rsidRPr="00D528ED">
        <w:rPr>
          <w:rFonts w:ascii="Times New Roman" w:eastAsia="Times New Roman" w:hAnsi="Times New Roman" w:cs="Times New Roman"/>
          <w:sz w:val="24"/>
          <w:szCs w:val="24"/>
          <w:lang/>
        </w:rPr>
        <w:t xml:space="preserve"> that the 'General Crisis' was a crisis of state and society, precipitated by the expansion of bureaucratic offices in the Sixteenth century.</w:t>
      </w:r>
    </w:p>
    <w:p w:rsidR="00D528ED" w:rsidRPr="00D528ED" w:rsidRDefault="00D528ED" w:rsidP="00D528ED">
      <w:pPr>
        <w:spacing w:before="120" w:after="120" w:line="240" w:lineRule="auto"/>
        <w:jc w:val="both"/>
        <w:rPr>
          <w:rFonts w:ascii="Times New Roman" w:eastAsia="Times New Roman" w:hAnsi="Times New Roman" w:cs="Times New Roman"/>
          <w:sz w:val="24"/>
          <w:szCs w:val="24"/>
          <w:lang/>
        </w:rPr>
      </w:pPr>
      <w:r w:rsidRPr="00D528ED">
        <w:rPr>
          <w:rFonts w:ascii="Times New Roman" w:eastAsia="Times New Roman" w:hAnsi="Times New Roman" w:cs="Times New Roman"/>
          <w:sz w:val="24"/>
          <w:szCs w:val="24"/>
          <w:lang/>
        </w:rPr>
        <w:t>Subsequent historians interested in the General Crisis include </w:t>
      </w:r>
      <w:hyperlink r:id="rId21" w:tooltip="Geoffrey Parker (historian)" w:history="1">
        <w:r w:rsidRPr="00D528ED">
          <w:rPr>
            <w:rFonts w:ascii="Times New Roman" w:eastAsia="Times New Roman" w:hAnsi="Times New Roman" w:cs="Times New Roman"/>
            <w:sz w:val="24"/>
            <w:szCs w:val="24"/>
            <w:u w:val="single"/>
            <w:lang/>
          </w:rPr>
          <w:t>Geoffrey Parker</w:t>
        </w:r>
      </w:hyperlink>
      <w:r w:rsidRPr="00D528ED">
        <w:rPr>
          <w:rFonts w:ascii="Times New Roman" w:eastAsia="Times New Roman" w:hAnsi="Times New Roman" w:cs="Times New Roman"/>
          <w:sz w:val="24"/>
          <w:szCs w:val="24"/>
          <w:lang/>
        </w:rPr>
        <w:t>, who has authored multiple books on the subject</w:t>
      </w:r>
      <w:r w:rsidRPr="00D528ED">
        <w:rPr>
          <w:rFonts w:ascii="Times New Roman" w:eastAsia="Times New Roman" w:hAnsi="Times New Roman" w:cs="Times New Roman"/>
          <w:sz w:val="24"/>
          <w:szCs w:val="24"/>
          <w:u w:val="single"/>
          <w:vertAlign w:val="superscript"/>
          <w:lang/>
        </w:rPr>
        <w:t>.</w:t>
      </w:r>
    </w:p>
    <w:p w:rsidR="00D528ED" w:rsidRPr="00D528ED" w:rsidRDefault="00D528ED" w:rsidP="00D528ED">
      <w:pPr>
        <w:pBdr>
          <w:bottom w:val="single" w:sz="4" w:space="0" w:color="A2A9B1"/>
        </w:pBdr>
        <w:spacing w:before="240" w:after="60" w:line="240" w:lineRule="auto"/>
        <w:jc w:val="both"/>
        <w:outlineLvl w:val="1"/>
        <w:rPr>
          <w:rFonts w:ascii="Times New Roman" w:eastAsia="Times New Roman" w:hAnsi="Times New Roman" w:cs="Times New Roman"/>
          <w:b/>
          <w:sz w:val="24"/>
          <w:szCs w:val="24"/>
          <w:lang/>
        </w:rPr>
      </w:pPr>
      <w:r w:rsidRPr="00D528ED">
        <w:rPr>
          <w:rFonts w:ascii="Times New Roman" w:eastAsia="Times New Roman" w:hAnsi="Times New Roman" w:cs="Times New Roman"/>
          <w:b/>
          <w:sz w:val="24"/>
          <w:szCs w:val="24"/>
          <w:lang/>
        </w:rPr>
        <w:t>Global patterns</w:t>
      </w:r>
    </w:p>
    <w:p w:rsidR="00D528ED" w:rsidRPr="00D528ED" w:rsidRDefault="00D528ED" w:rsidP="00D528ED">
      <w:pPr>
        <w:spacing w:before="120" w:after="120" w:line="240" w:lineRule="auto"/>
        <w:jc w:val="both"/>
        <w:rPr>
          <w:rFonts w:ascii="Times New Roman" w:eastAsia="Times New Roman" w:hAnsi="Times New Roman" w:cs="Times New Roman"/>
          <w:sz w:val="24"/>
          <w:szCs w:val="24"/>
          <w:lang/>
        </w:rPr>
      </w:pPr>
      <w:r w:rsidRPr="00D528ED">
        <w:rPr>
          <w:rFonts w:ascii="Times New Roman" w:eastAsia="Times New Roman" w:hAnsi="Times New Roman" w:cs="Times New Roman"/>
          <w:sz w:val="24"/>
          <w:szCs w:val="24"/>
          <w:lang/>
        </w:rPr>
        <w:t>Many historians have argued the 17th century was an era of crisis. Today there are historians who promote the crisis model, arguing it provides an invaluable insight into the warfare, politics, economics</w:t>
      </w:r>
      <w:r w:rsidRPr="00D528ED">
        <w:rPr>
          <w:rFonts w:ascii="Times New Roman" w:eastAsia="Times New Roman" w:hAnsi="Times New Roman" w:cs="Times New Roman"/>
          <w:sz w:val="24"/>
          <w:szCs w:val="24"/>
          <w:u w:val="single"/>
          <w:vertAlign w:val="superscript"/>
          <w:lang/>
        </w:rPr>
        <w:t>]</w:t>
      </w:r>
      <w:r w:rsidRPr="00D528ED">
        <w:rPr>
          <w:rFonts w:ascii="Times New Roman" w:eastAsia="Times New Roman" w:hAnsi="Times New Roman" w:cs="Times New Roman"/>
          <w:sz w:val="24"/>
          <w:szCs w:val="24"/>
          <w:lang/>
        </w:rPr>
        <w:t> and even art of the seventeenth century. The </w:t>
      </w:r>
      <w:hyperlink r:id="rId22" w:tooltip="Thirty Years' War" w:history="1">
        <w:r w:rsidRPr="00D528ED">
          <w:rPr>
            <w:rFonts w:ascii="Times New Roman" w:eastAsia="Times New Roman" w:hAnsi="Times New Roman" w:cs="Times New Roman"/>
            <w:sz w:val="24"/>
            <w:szCs w:val="24"/>
            <w:u w:val="single"/>
            <w:lang/>
          </w:rPr>
          <w:t>Thirty Years' War</w:t>
        </w:r>
      </w:hyperlink>
      <w:r w:rsidRPr="00D528ED">
        <w:rPr>
          <w:rFonts w:ascii="Times New Roman" w:eastAsia="Times New Roman" w:hAnsi="Times New Roman" w:cs="Times New Roman"/>
          <w:sz w:val="24"/>
          <w:szCs w:val="24"/>
          <w:lang/>
        </w:rPr>
        <w:t> (1618–1648) focused attention on the massive horrors that wars could bring to entire populations. The 1640s in particular saw more state breakdowns around the world than any previous or subsequent period</w:t>
      </w:r>
      <w:r w:rsidRPr="00D528ED">
        <w:rPr>
          <w:rFonts w:ascii="Times New Roman" w:eastAsia="Times New Roman" w:hAnsi="Times New Roman" w:cs="Times New Roman"/>
          <w:sz w:val="24"/>
          <w:szCs w:val="24"/>
          <w:u w:val="single"/>
          <w:vertAlign w:val="superscript"/>
          <w:lang/>
        </w:rPr>
        <w:t>.</w:t>
      </w:r>
      <w:r w:rsidRPr="00D528ED">
        <w:rPr>
          <w:rFonts w:ascii="Times New Roman" w:eastAsia="Times New Roman" w:hAnsi="Times New Roman" w:cs="Times New Roman"/>
          <w:sz w:val="24"/>
          <w:szCs w:val="24"/>
          <w:lang/>
        </w:rPr>
        <w:t> The </w:t>
      </w:r>
      <w:hyperlink r:id="rId23" w:tooltip="Polish–Lithuanian Commonwealth" w:history="1">
        <w:r w:rsidRPr="00D528ED">
          <w:rPr>
            <w:rFonts w:ascii="Times New Roman" w:eastAsia="Times New Roman" w:hAnsi="Times New Roman" w:cs="Times New Roman"/>
            <w:sz w:val="24"/>
            <w:szCs w:val="24"/>
            <w:u w:val="single"/>
            <w:lang/>
          </w:rPr>
          <w:t>Polish–Lithuanian Commonwealth</w:t>
        </w:r>
      </w:hyperlink>
      <w:r w:rsidRPr="00D528ED">
        <w:rPr>
          <w:rFonts w:ascii="Times New Roman" w:eastAsia="Times New Roman" w:hAnsi="Times New Roman" w:cs="Times New Roman"/>
          <w:sz w:val="24"/>
          <w:szCs w:val="24"/>
          <w:lang/>
        </w:rPr>
        <w:t>, the largest state in Europe, </w:t>
      </w:r>
      <w:hyperlink r:id="rId24" w:tooltip="The Deluge (history)" w:history="1">
        <w:r w:rsidRPr="00D528ED">
          <w:rPr>
            <w:rFonts w:ascii="Times New Roman" w:eastAsia="Times New Roman" w:hAnsi="Times New Roman" w:cs="Times New Roman"/>
            <w:sz w:val="24"/>
            <w:szCs w:val="24"/>
            <w:u w:val="single"/>
            <w:lang/>
          </w:rPr>
          <w:t>temporarily disappeared</w:t>
        </w:r>
      </w:hyperlink>
      <w:r w:rsidRPr="00D528ED">
        <w:rPr>
          <w:rFonts w:ascii="Times New Roman" w:eastAsia="Times New Roman" w:hAnsi="Times New Roman" w:cs="Times New Roman"/>
          <w:sz w:val="24"/>
          <w:szCs w:val="24"/>
          <w:lang/>
        </w:rPr>
        <w:t>. In addition, there were secessions and upheavals in several parts of the </w:t>
      </w:r>
      <w:hyperlink r:id="rId25" w:tooltip="Spanish Empire" w:history="1">
        <w:r w:rsidRPr="00D528ED">
          <w:rPr>
            <w:rFonts w:ascii="Times New Roman" w:eastAsia="Times New Roman" w:hAnsi="Times New Roman" w:cs="Times New Roman"/>
            <w:sz w:val="24"/>
            <w:szCs w:val="24"/>
            <w:u w:val="single"/>
            <w:lang/>
          </w:rPr>
          <w:t>Spanish Empire</w:t>
        </w:r>
      </w:hyperlink>
      <w:r w:rsidRPr="00D528ED">
        <w:rPr>
          <w:rFonts w:ascii="Times New Roman" w:eastAsia="Times New Roman" w:hAnsi="Times New Roman" w:cs="Times New Roman"/>
          <w:sz w:val="24"/>
          <w:szCs w:val="24"/>
          <w:lang/>
        </w:rPr>
        <w:t>. In Britain there were rebellions in every part of the </w:t>
      </w:r>
      <w:hyperlink r:id="rId26" w:tooltip="House of Stuart" w:history="1">
        <w:r w:rsidRPr="00D528ED">
          <w:rPr>
            <w:rFonts w:ascii="Times New Roman" w:eastAsia="Times New Roman" w:hAnsi="Times New Roman" w:cs="Times New Roman"/>
            <w:sz w:val="24"/>
            <w:szCs w:val="24"/>
            <w:u w:val="single"/>
            <w:lang/>
          </w:rPr>
          <w:t>Stuart monarchy</w:t>
        </w:r>
      </w:hyperlink>
      <w:r w:rsidRPr="00D528ED">
        <w:rPr>
          <w:rFonts w:ascii="Times New Roman" w:eastAsia="Times New Roman" w:hAnsi="Times New Roman" w:cs="Times New Roman"/>
          <w:sz w:val="24"/>
          <w:szCs w:val="24"/>
          <w:lang/>
        </w:rPr>
        <w:t> (</w:t>
      </w:r>
      <w:hyperlink r:id="rId27" w:tooltip="Kingdom of England" w:history="1">
        <w:r w:rsidRPr="00D528ED">
          <w:rPr>
            <w:rFonts w:ascii="Times New Roman" w:eastAsia="Times New Roman" w:hAnsi="Times New Roman" w:cs="Times New Roman"/>
            <w:sz w:val="24"/>
            <w:szCs w:val="24"/>
            <w:u w:val="single"/>
            <w:lang/>
          </w:rPr>
          <w:t>Kingdom of England</w:t>
        </w:r>
      </w:hyperlink>
      <w:r w:rsidRPr="00D528ED">
        <w:rPr>
          <w:rFonts w:ascii="Times New Roman" w:eastAsia="Times New Roman" w:hAnsi="Times New Roman" w:cs="Times New Roman"/>
          <w:sz w:val="24"/>
          <w:szCs w:val="24"/>
          <w:lang/>
        </w:rPr>
        <w:t>, </w:t>
      </w:r>
      <w:hyperlink r:id="rId28" w:tooltip="Kingdom of Scotland" w:history="1">
        <w:r w:rsidRPr="00D528ED">
          <w:rPr>
            <w:rFonts w:ascii="Times New Roman" w:eastAsia="Times New Roman" w:hAnsi="Times New Roman" w:cs="Times New Roman"/>
            <w:sz w:val="24"/>
            <w:szCs w:val="24"/>
            <w:u w:val="single"/>
            <w:lang/>
          </w:rPr>
          <w:t>Kingdom of Scotland</w:t>
        </w:r>
      </w:hyperlink>
      <w:r w:rsidRPr="00D528ED">
        <w:rPr>
          <w:rFonts w:ascii="Times New Roman" w:eastAsia="Times New Roman" w:hAnsi="Times New Roman" w:cs="Times New Roman"/>
          <w:sz w:val="24"/>
          <w:szCs w:val="24"/>
          <w:lang/>
        </w:rPr>
        <w:t>, </w:t>
      </w:r>
      <w:hyperlink r:id="rId29" w:tooltip="Kingdom of Ireland" w:history="1">
        <w:r w:rsidRPr="00D528ED">
          <w:rPr>
            <w:rFonts w:ascii="Times New Roman" w:eastAsia="Times New Roman" w:hAnsi="Times New Roman" w:cs="Times New Roman"/>
            <w:sz w:val="24"/>
            <w:szCs w:val="24"/>
            <w:u w:val="single"/>
            <w:lang/>
          </w:rPr>
          <w:t>Kingdom of Ireland</w:t>
        </w:r>
      </w:hyperlink>
      <w:r w:rsidRPr="00D528ED">
        <w:rPr>
          <w:rFonts w:ascii="Times New Roman" w:eastAsia="Times New Roman" w:hAnsi="Times New Roman" w:cs="Times New Roman"/>
          <w:sz w:val="24"/>
          <w:szCs w:val="24"/>
          <w:lang/>
        </w:rPr>
        <w:t>, and </w:t>
      </w:r>
      <w:hyperlink r:id="rId30" w:tooltip="British America" w:history="1">
        <w:r w:rsidRPr="00D528ED">
          <w:rPr>
            <w:rFonts w:ascii="Times New Roman" w:eastAsia="Times New Roman" w:hAnsi="Times New Roman" w:cs="Times New Roman"/>
            <w:sz w:val="24"/>
            <w:szCs w:val="24"/>
            <w:u w:val="single"/>
            <w:lang/>
          </w:rPr>
          <w:t>British America</w:t>
        </w:r>
      </w:hyperlink>
      <w:r w:rsidRPr="00D528ED">
        <w:rPr>
          <w:rFonts w:ascii="Times New Roman" w:eastAsia="Times New Roman" w:hAnsi="Times New Roman" w:cs="Times New Roman"/>
          <w:sz w:val="24"/>
          <w:szCs w:val="24"/>
          <w:lang/>
        </w:rPr>
        <w:t xml:space="preserve">). Political insurgency and a spate of popular revolts seldom shook the foundations of most states in Europe and Asia. More wars took place around the world in the mid-17th century than in almost any other period </w:t>
      </w:r>
      <w:r w:rsidRPr="00D528ED">
        <w:rPr>
          <w:rFonts w:ascii="Times New Roman" w:eastAsia="Times New Roman" w:hAnsi="Times New Roman" w:cs="Times New Roman"/>
          <w:sz w:val="24"/>
          <w:szCs w:val="24"/>
          <w:lang/>
        </w:rPr>
        <w:lastRenderedPageBreak/>
        <w:t>of recorded history. The crises spread far beyond Europe—for example </w:t>
      </w:r>
      <w:hyperlink r:id="rId31" w:tooltip="Ming China" w:history="1">
        <w:r w:rsidRPr="00D528ED">
          <w:rPr>
            <w:rFonts w:ascii="Times New Roman" w:eastAsia="Times New Roman" w:hAnsi="Times New Roman" w:cs="Times New Roman"/>
            <w:sz w:val="24"/>
            <w:szCs w:val="24"/>
            <w:u w:val="single"/>
            <w:lang/>
          </w:rPr>
          <w:t>Ming China</w:t>
        </w:r>
      </w:hyperlink>
      <w:r w:rsidRPr="00D528ED">
        <w:rPr>
          <w:rFonts w:ascii="Times New Roman" w:eastAsia="Times New Roman" w:hAnsi="Times New Roman" w:cs="Times New Roman"/>
          <w:sz w:val="24"/>
          <w:szCs w:val="24"/>
          <w:lang/>
        </w:rPr>
        <w:t>, the most populous state in the world, collapsed.</w:t>
      </w:r>
    </w:p>
    <w:p w:rsidR="00D528ED" w:rsidRPr="00D528ED" w:rsidRDefault="00D528ED" w:rsidP="00D528ED">
      <w:pPr>
        <w:spacing w:before="120" w:after="120" w:line="240" w:lineRule="auto"/>
        <w:jc w:val="both"/>
        <w:rPr>
          <w:rFonts w:ascii="Times New Roman" w:eastAsia="Times New Roman" w:hAnsi="Times New Roman" w:cs="Times New Roman"/>
          <w:sz w:val="24"/>
          <w:szCs w:val="24"/>
          <w:lang/>
        </w:rPr>
      </w:pPr>
      <w:r w:rsidRPr="00D528ED">
        <w:rPr>
          <w:rFonts w:ascii="Times New Roman" w:eastAsia="Times New Roman" w:hAnsi="Times New Roman" w:cs="Times New Roman"/>
          <w:sz w:val="24"/>
          <w:szCs w:val="24"/>
          <w:lang/>
        </w:rPr>
        <w:t>China's Ming dynasty and Japan's </w:t>
      </w:r>
      <w:hyperlink r:id="rId32" w:tooltip="Tokugawa shogunate" w:history="1">
        <w:r w:rsidRPr="00D528ED">
          <w:rPr>
            <w:rFonts w:ascii="Times New Roman" w:eastAsia="Times New Roman" w:hAnsi="Times New Roman" w:cs="Times New Roman"/>
            <w:sz w:val="24"/>
            <w:szCs w:val="24"/>
            <w:u w:val="single"/>
            <w:lang/>
          </w:rPr>
          <w:t xml:space="preserve">Tokugawa </w:t>
        </w:r>
        <w:proofErr w:type="spellStart"/>
        <w:r w:rsidRPr="00D528ED">
          <w:rPr>
            <w:rFonts w:ascii="Times New Roman" w:eastAsia="Times New Roman" w:hAnsi="Times New Roman" w:cs="Times New Roman"/>
            <w:sz w:val="24"/>
            <w:szCs w:val="24"/>
            <w:u w:val="single"/>
            <w:lang/>
          </w:rPr>
          <w:t>shogunate</w:t>
        </w:r>
        <w:proofErr w:type="spellEnd"/>
      </w:hyperlink>
      <w:r w:rsidRPr="00D528ED">
        <w:rPr>
          <w:rFonts w:ascii="Times New Roman" w:eastAsia="Times New Roman" w:hAnsi="Times New Roman" w:cs="Times New Roman"/>
          <w:sz w:val="24"/>
          <w:szCs w:val="24"/>
          <w:lang/>
        </w:rPr>
        <w:t> had radically different economic, social, and political systems. However, they experienced a series of crises during the mid-17th century that were at once interrelated and strikingly similar to those occurring in other parts of the world at the same time. </w:t>
      </w:r>
      <w:hyperlink r:id="rId33" w:tooltip="Frederic Wakeman" w:history="1">
        <w:r w:rsidRPr="00D528ED">
          <w:rPr>
            <w:rFonts w:ascii="Times New Roman" w:eastAsia="Times New Roman" w:hAnsi="Times New Roman" w:cs="Times New Roman"/>
            <w:sz w:val="24"/>
            <w:szCs w:val="24"/>
            <w:u w:val="single"/>
            <w:lang/>
          </w:rPr>
          <w:t xml:space="preserve">Frederic </w:t>
        </w:r>
        <w:proofErr w:type="spellStart"/>
        <w:r w:rsidRPr="00D528ED">
          <w:rPr>
            <w:rFonts w:ascii="Times New Roman" w:eastAsia="Times New Roman" w:hAnsi="Times New Roman" w:cs="Times New Roman"/>
            <w:sz w:val="24"/>
            <w:szCs w:val="24"/>
            <w:u w:val="single"/>
            <w:lang/>
          </w:rPr>
          <w:t>Wakeman</w:t>
        </w:r>
        <w:proofErr w:type="spellEnd"/>
      </w:hyperlink>
      <w:r w:rsidRPr="00D528ED">
        <w:rPr>
          <w:rFonts w:ascii="Times New Roman" w:eastAsia="Times New Roman" w:hAnsi="Times New Roman" w:cs="Times New Roman"/>
          <w:sz w:val="24"/>
          <w:szCs w:val="24"/>
          <w:lang/>
        </w:rPr>
        <w:t> argues that the crisis which destroyed the Ming dynasty was partly a result of the climatic change as well as China's already significant involvement in the developing world economy. Bureaucratic dishonesty worsened the problem. Moreover, the </w:t>
      </w:r>
      <w:hyperlink r:id="rId34" w:tooltip="Qing dynasty" w:history="1">
        <w:r w:rsidRPr="00D528ED">
          <w:rPr>
            <w:rFonts w:ascii="Times New Roman" w:eastAsia="Times New Roman" w:hAnsi="Times New Roman" w:cs="Times New Roman"/>
            <w:sz w:val="24"/>
            <w:szCs w:val="24"/>
            <w:u w:val="single"/>
            <w:lang/>
          </w:rPr>
          <w:t>Qing dynasty</w:t>
        </w:r>
      </w:hyperlink>
      <w:r w:rsidRPr="00D528ED">
        <w:rPr>
          <w:rFonts w:ascii="Times New Roman" w:eastAsia="Times New Roman" w:hAnsi="Times New Roman" w:cs="Times New Roman"/>
          <w:sz w:val="24"/>
          <w:szCs w:val="24"/>
          <w:lang/>
        </w:rPr>
        <w:t>'s success in dealing with the crisis made it more difficult for it to consider alternative responses when confronted with severe challenges from the West in the 19th century.</w:t>
      </w:r>
    </w:p>
    <w:p w:rsidR="00D528ED" w:rsidRPr="00D528ED" w:rsidRDefault="00D528ED" w:rsidP="00D528ED">
      <w:pPr>
        <w:pBdr>
          <w:bottom w:val="single" w:sz="4" w:space="0" w:color="A2A9B1"/>
        </w:pBdr>
        <w:spacing w:before="240" w:after="60" w:line="240" w:lineRule="auto"/>
        <w:jc w:val="both"/>
        <w:outlineLvl w:val="1"/>
        <w:rPr>
          <w:rFonts w:ascii="Times New Roman" w:eastAsia="Times New Roman" w:hAnsi="Times New Roman" w:cs="Times New Roman"/>
          <w:b/>
          <w:sz w:val="24"/>
          <w:szCs w:val="24"/>
          <w:lang/>
        </w:rPr>
      </w:pPr>
      <w:r w:rsidRPr="00D528ED">
        <w:rPr>
          <w:rFonts w:ascii="Times New Roman" w:eastAsia="Times New Roman" w:hAnsi="Times New Roman" w:cs="Times New Roman"/>
          <w:b/>
          <w:sz w:val="24"/>
          <w:szCs w:val="24"/>
          <w:lang/>
        </w:rPr>
        <w:t>Climate change</w:t>
      </w:r>
    </w:p>
    <w:p w:rsidR="00D528ED" w:rsidRPr="00D528ED" w:rsidRDefault="00D528ED" w:rsidP="00D528ED">
      <w:pPr>
        <w:spacing w:before="120" w:after="120" w:line="240" w:lineRule="auto"/>
        <w:jc w:val="both"/>
        <w:rPr>
          <w:rFonts w:ascii="Times New Roman" w:eastAsia="Times New Roman" w:hAnsi="Times New Roman" w:cs="Times New Roman"/>
          <w:sz w:val="24"/>
          <w:szCs w:val="24"/>
          <w:lang/>
        </w:rPr>
      </w:pPr>
      <w:r w:rsidRPr="00D528ED">
        <w:rPr>
          <w:rFonts w:ascii="Times New Roman" w:eastAsia="Times New Roman" w:hAnsi="Times New Roman" w:cs="Times New Roman"/>
          <w:sz w:val="24"/>
          <w:szCs w:val="24"/>
          <w:lang/>
        </w:rPr>
        <w:t>The General Crisis overlaps fairly neatly with the </w:t>
      </w:r>
      <w:hyperlink r:id="rId35" w:tooltip="Little Ice Age" w:history="1">
        <w:r w:rsidRPr="00D528ED">
          <w:rPr>
            <w:rFonts w:ascii="Times New Roman" w:eastAsia="Times New Roman" w:hAnsi="Times New Roman" w:cs="Times New Roman"/>
            <w:sz w:val="24"/>
            <w:szCs w:val="24"/>
            <w:u w:val="single"/>
            <w:lang/>
          </w:rPr>
          <w:t>Little Ice Age</w:t>
        </w:r>
      </w:hyperlink>
      <w:r w:rsidRPr="00D528ED">
        <w:rPr>
          <w:rFonts w:ascii="Times New Roman" w:eastAsia="Times New Roman" w:hAnsi="Times New Roman" w:cs="Times New Roman"/>
          <w:sz w:val="24"/>
          <w:szCs w:val="24"/>
          <w:lang/>
        </w:rPr>
        <w:t> whose peak some authorities locate in the 17th century. Of particular interest is the overlap with the </w:t>
      </w:r>
      <w:hyperlink r:id="rId36" w:tooltip="Maunder Minimum" w:history="1">
        <w:r w:rsidRPr="00D528ED">
          <w:rPr>
            <w:rFonts w:ascii="Times New Roman" w:eastAsia="Times New Roman" w:hAnsi="Times New Roman" w:cs="Times New Roman"/>
            <w:sz w:val="24"/>
            <w:szCs w:val="24"/>
            <w:u w:val="single"/>
            <w:lang/>
          </w:rPr>
          <w:t>Maunder Minimum</w:t>
        </w:r>
      </w:hyperlink>
      <w:r w:rsidRPr="00D528ED">
        <w:rPr>
          <w:rFonts w:ascii="Times New Roman" w:eastAsia="Times New Roman" w:hAnsi="Times New Roman" w:cs="Times New Roman"/>
          <w:sz w:val="24"/>
          <w:szCs w:val="24"/>
          <w:lang/>
        </w:rPr>
        <w:t>, </w:t>
      </w:r>
      <w:hyperlink r:id="rId37" w:tooltip="El Niño–Southern Oscillation" w:history="1">
        <w:r w:rsidRPr="00D528ED">
          <w:rPr>
            <w:rFonts w:ascii="Times New Roman" w:eastAsia="Times New Roman" w:hAnsi="Times New Roman" w:cs="Times New Roman"/>
            <w:sz w:val="24"/>
            <w:szCs w:val="24"/>
            <w:u w:val="single"/>
            <w:lang/>
          </w:rPr>
          <w:t>El Niño</w:t>
        </w:r>
      </w:hyperlink>
      <w:r w:rsidRPr="00D528ED">
        <w:rPr>
          <w:rFonts w:ascii="Times New Roman" w:eastAsia="Times New Roman" w:hAnsi="Times New Roman" w:cs="Times New Roman"/>
          <w:sz w:val="24"/>
          <w:szCs w:val="24"/>
          <w:lang/>
        </w:rPr>
        <w:t xml:space="preserve"> events and an abnormal spate of volcanic activity. Climatologists such as David Rind and Jonathan </w:t>
      </w:r>
      <w:proofErr w:type="spellStart"/>
      <w:r w:rsidRPr="00D528ED">
        <w:rPr>
          <w:rFonts w:ascii="Times New Roman" w:eastAsia="Times New Roman" w:hAnsi="Times New Roman" w:cs="Times New Roman"/>
          <w:sz w:val="24"/>
          <w:szCs w:val="24"/>
          <w:lang/>
        </w:rPr>
        <w:t>Overpeck</w:t>
      </w:r>
      <w:proofErr w:type="spellEnd"/>
      <w:r w:rsidRPr="00D528ED">
        <w:rPr>
          <w:rFonts w:ascii="Times New Roman" w:eastAsia="Times New Roman" w:hAnsi="Times New Roman" w:cs="Times New Roman"/>
          <w:sz w:val="24"/>
          <w:szCs w:val="24"/>
          <w:lang/>
        </w:rPr>
        <w:t xml:space="preserve"> have </w:t>
      </w:r>
      <w:proofErr w:type="spellStart"/>
      <w:r w:rsidRPr="00D528ED">
        <w:rPr>
          <w:rFonts w:ascii="Times New Roman" w:eastAsia="Times New Roman" w:hAnsi="Times New Roman" w:cs="Times New Roman"/>
          <w:sz w:val="24"/>
          <w:szCs w:val="24"/>
          <w:lang/>
        </w:rPr>
        <w:t>hypothesised</w:t>
      </w:r>
      <w:proofErr w:type="spellEnd"/>
      <w:r w:rsidRPr="00D528ED">
        <w:rPr>
          <w:rFonts w:ascii="Times New Roman" w:eastAsia="Times New Roman" w:hAnsi="Times New Roman" w:cs="Times New Roman"/>
          <w:sz w:val="24"/>
          <w:szCs w:val="24"/>
          <w:lang/>
        </w:rPr>
        <w:t xml:space="preserve"> that these three events are interlinked.</w:t>
      </w:r>
      <w:hyperlink r:id="rId38" w:anchor="cite_note-17" w:history="1">
        <w:r w:rsidRPr="00D528ED">
          <w:rPr>
            <w:rFonts w:ascii="Times New Roman" w:eastAsia="Times New Roman" w:hAnsi="Times New Roman" w:cs="Times New Roman"/>
            <w:sz w:val="24"/>
            <w:szCs w:val="24"/>
            <w:u w:val="single"/>
            <w:vertAlign w:val="superscript"/>
            <w:lang/>
          </w:rPr>
          <w:t>[17]</w:t>
        </w:r>
      </w:hyperlink>
      <w:r w:rsidRPr="00D528ED">
        <w:rPr>
          <w:rFonts w:ascii="Times New Roman" w:eastAsia="Times New Roman" w:hAnsi="Times New Roman" w:cs="Times New Roman"/>
          <w:sz w:val="24"/>
          <w:szCs w:val="24"/>
          <w:lang/>
        </w:rPr>
        <w:t> Across the Northern Hemisphere, the mid-17th century experienced almost unprecedented death rates. Geoffrey Parker has suggested that environmental factors may have been in part to blame, especially the global cooling trend of this period.</w:t>
      </w:r>
      <w:hyperlink r:id="rId39" w:anchor="cite_note-FOOTNOTEParkerSmith2008-18" w:history="1">
        <w:r w:rsidRPr="00D528ED">
          <w:rPr>
            <w:rFonts w:ascii="Times New Roman" w:eastAsia="Times New Roman" w:hAnsi="Times New Roman" w:cs="Times New Roman"/>
            <w:sz w:val="24"/>
            <w:szCs w:val="24"/>
            <w:u w:val="single"/>
            <w:vertAlign w:val="superscript"/>
            <w:lang/>
          </w:rPr>
          <w:t>[18]</w:t>
        </w:r>
      </w:hyperlink>
      <w:r w:rsidRPr="00D528ED">
        <w:rPr>
          <w:rFonts w:ascii="Times New Roman" w:eastAsia="Times New Roman" w:hAnsi="Times New Roman" w:cs="Times New Roman"/>
          <w:sz w:val="24"/>
          <w:szCs w:val="24"/>
          <w:lang/>
        </w:rPr>
        <w:t> David D. Zhang et al provide a detailed analysis here.</w:t>
      </w:r>
    </w:p>
    <w:p w:rsidR="00D528ED" w:rsidRPr="00D528ED" w:rsidRDefault="00D528ED" w:rsidP="00D528ED">
      <w:pPr>
        <w:pBdr>
          <w:bottom w:val="single" w:sz="4" w:space="0" w:color="A2A9B1"/>
        </w:pBdr>
        <w:spacing w:before="240" w:after="60" w:line="240" w:lineRule="auto"/>
        <w:jc w:val="both"/>
        <w:outlineLvl w:val="1"/>
        <w:rPr>
          <w:rFonts w:ascii="Times New Roman" w:eastAsia="Times New Roman" w:hAnsi="Times New Roman" w:cs="Times New Roman"/>
          <w:b/>
          <w:sz w:val="24"/>
          <w:szCs w:val="24"/>
          <w:lang/>
        </w:rPr>
      </w:pPr>
      <w:r w:rsidRPr="00D528ED">
        <w:rPr>
          <w:rFonts w:ascii="Times New Roman" w:eastAsia="Times New Roman" w:hAnsi="Times New Roman" w:cs="Times New Roman"/>
          <w:b/>
          <w:sz w:val="24"/>
          <w:szCs w:val="24"/>
          <w:lang/>
        </w:rPr>
        <w:t>Demographic decline</w:t>
      </w:r>
    </w:p>
    <w:p w:rsidR="00D528ED" w:rsidRPr="00D528ED" w:rsidRDefault="00D528ED" w:rsidP="00D528ED">
      <w:pPr>
        <w:spacing w:before="120" w:after="120" w:line="240" w:lineRule="auto"/>
        <w:jc w:val="both"/>
        <w:rPr>
          <w:rFonts w:ascii="Times New Roman" w:eastAsia="Times New Roman" w:hAnsi="Times New Roman" w:cs="Times New Roman"/>
          <w:sz w:val="24"/>
          <w:szCs w:val="24"/>
          <w:lang/>
        </w:rPr>
      </w:pPr>
      <w:r w:rsidRPr="00D528ED">
        <w:rPr>
          <w:rFonts w:ascii="Times New Roman" w:eastAsia="Times New Roman" w:hAnsi="Times New Roman" w:cs="Times New Roman"/>
          <w:sz w:val="24"/>
          <w:szCs w:val="24"/>
          <w:lang/>
        </w:rPr>
        <w:t>During this period there was a significant decline in populations particularly in Europe and China. The cause for this demographic decline is complicated and significantly unproven; but, war, climate change and migration are the main factors that contributed to this population crisis. War ravaged Europe for almost the entirety of the century with no major state avoiding war in the 1640s. Some states saw very few years of peace; for example Poland only saw 27 years of peace, the </w:t>
      </w:r>
      <w:hyperlink r:id="rId40" w:tooltip="Dutch Republic" w:history="1">
        <w:r w:rsidRPr="00D528ED">
          <w:rPr>
            <w:rFonts w:ascii="Times New Roman" w:eastAsia="Times New Roman" w:hAnsi="Times New Roman" w:cs="Times New Roman"/>
            <w:sz w:val="24"/>
            <w:szCs w:val="24"/>
            <w:u w:val="single"/>
            <w:lang/>
          </w:rPr>
          <w:t>Dutch Republic</w:t>
        </w:r>
      </w:hyperlink>
      <w:r w:rsidRPr="00D528ED">
        <w:rPr>
          <w:rFonts w:ascii="Times New Roman" w:eastAsia="Times New Roman" w:hAnsi="Times New Roman" w:cs="Times New Roman"/>
          <w:sz w:val="24"/>
          <w:szCs w:val="24"/>
          <w:lang/>
        </w:rPr>
        <w:t> 14, France 11, and Spain only 3. An example of the impact of war on demography in Europe is Germany, whose population was reduced by approximately 15% to 30% in the </w:t>
      </w:r>
      <w:hyperlink r:id="rId41" w:tooltip="Thirty Years' War" w:history="1">
        <w:r w:rsidRPr="00D528ED">
          <w:rPr>
            <w:rFonts w:ascii="Times New Roman" w:eastAsia="Times New Roman" w:hAnsi="Times New Roman" w:cs="Times New Roman"/>
            <w:sz w:val="24"/>
            <w:szCs w:val="24"/>
            <w:u w:val="single"/>
            <w:lang/>
          </w:rPr>
          <w:t>Thirty Years' War</w:t>
        </w:r>
      </w:hyperlink>
      <w:r w:rsidRPr="00D528ED">
        <w:rPr>
          <w:rFonts w:ascii="Times New Roman" w:eastAsia="Times New Roman" w:hAnsi="Times New Roman" w:cs="Times New Roman"/>
          <w:sz w:val="24"/>
          <w:szCs w:val="24"/>
          <w:lang/>
        </w:rPr>
        <w:t>. Another factor for the demographic decline in Europe was the spate of climatic events that dramatically affected the food supply and caused major crop failure in the marginal farmland of Europe. During this period there was a drop of 1–2 °C, which coincides with the </w:t>
      </w:r>
      <w:hyperlink r:id="rId42" w:tooltip="Maunder Minimum" w:history="1">
        <w:r w:rsidRPr="00D528ED">
          <w:rPr>
            <w:rFonts w:ascii="Times New Roman" w:eastAsia="Times New Roman" w:hAnsi="Times New Roman" w:cs="Times New Roman"/>
            <w:sz w:val="24"/>
            <w:szCs w:val="24"/>
            <w:u w:val="single"/>
            <w:lang/>
          </w:rPr>
          <w:t>Maunder Minimum</w:t>
        </w:r>
      </w:hyperlink>
      <w:r w:rsidRPr="00D528ED">
        <w:rPr>
          <w:rFonts w:ascii="Times New Roman" w:eastAsia="Times New Roman" w:hAnsi="Times New Roman" w:cs="Times New Roman"/>
          <w:sz w:val="24"/>
          <w:szCs w:val="24"/>
          <w:lang/>
        </w:rPr>
        <w:t> and frequent, large spates of volcanism which acted to drop temperatures enough to cause crop failures in Europe. Crop failures were met with a wave of urban migration that perpetuated unsustainable urban populations and caused in some areas a </w:t>
      </w:r>
      <w:hyperlink r:id="rId43" w:tooltip="Malthusian catastrophe" w:history="1">
        <w:r w:rsidRPr="00D528ED">
          <w:rPr>
            <w:rFonts w:ascii="Times New Roman" w:eastAsia="Times New Roman" w:hAnsi="Times New Roman" w:cs="Times New Roman"/>
            <w:sz w:val="24"/>
            <w:szCs w:val="24"/>
            <w:u w:val="single"/>
            <w:lang/>
          </w:rPr>
          <w:t>Malthusian crisis</w:t>
        </w:r>
      </w:hyperlink>
      <w:r w:rsidRPr="00D528ED">
        <w:rPr>
          <w:rFonts w:ascii="Times New Roman" w:eastAsia="Times New Roman" w:hAnsi="Times New Roman" w:cs="Times New Roman"/>
          <w:sz w:val="24"/>
          <w:szCs w:val="24"/>
          <w:lang/>
        </w:rPr>
        <w:t>. Although in some areas the early stages of the subsistence crises were not necessarily Malthusian in nature, the result usually followed this model of agricultural deficit in relation to population</w:t>
      </w:r>
      <w:r w:rsidRPr="00D528ED">
        <w:rPr>
          <w:rFonts w:ascii="Times New Roman" w:eastAsia="Times New Roman" w:hAnsi="Times New Roman" w:cs="Times New Roman"/>
          <w:sz w:val="24"/>
          <w:szCs w:val="24"/>
          <w:u w:val="single"/>
          <w:vertAlign w:val="superscript"/>
          <w:lang/>
        </w:rPr>
        <w:t>.</w:t>
      </w:r>
    </w:p>
    <w:p w:rsidR="00454959" w:rsidRPr="00D528ED" w:rsidRDefault="00454959" w:rsidP="00D528ED">
      <w:pPr>
        <w:jc w:val="both"/>
        <w:rPr>
          <w:rFonts w:ascii="Times New Roman" w:hAnsi="Times New Roman" w:cs="Times New Roman"/>
          <w:sz w:val="24"/>
          <w:szCs w:val="24"/>
        </w:rPr>
      </w:pPr>
    </w:p>
    <w:sectPr w:rsidR="00454959" w:rsidRPr="00D528ED" w:rsidSect="00BD133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C75C7E"/>
    <w:multiLevelType w:val="multilevel"/>
    <w:tmpl w:val="57DA9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D528ED"/>
    <w:rsid w:val="00454959"/>
    <w:rsid w:val="00BD1339"/>
    <w:rsid w:val="00D528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339"/>
  </w:style>
  <w:style w:type="paragraph" w:styleId="Heading1">
    <w:name w:val="heading 1"/>
    <w:basedOn w:val="Normal"/>
    <w:link w:val="Heading1Char"/>
    <w:uiPriority w:val="9"/>
    <w:qFormat/>
    <w:rsid w:val="00D528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528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28E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528E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528ED"/>
    <w:rPr>
      <w:color w:val="0000FF"/>
      <w:u w:val="single"/>
    </w:rPr>
  </w:style>
  <w:style w:type="paragraph" w:styleId="NormalWeb">
    <w:name w:val="Normal (Web)"/>
    <w:basedOn w:val="Normal"/>
    <w:uiPriority w:val="99"/>
    <w:semiHidden/>
    <w:unhideWhenUsed/>
    <w:rsid w:val="00D528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number"/>
    <w:basedOn w:val="DefaultParagraphFont"/>
    <w:rsid w:val="00D528ED"/>
  </w:style>
  <w:style w:type="character" w:customStyle="1" w:styleId="toctext">
    <w:name w:val="toctext"/>
    <w:basedOn w:val="DefaultParagraphFont"/>
    <w:rsid w:val="00D528ED"/>
  </w:style>
  <w:style w:type="character" w:customStyle="1" w:styleId="mw-headline">
    <w:name w:val="mw-headline"/>
    <w:basedOn w:val="DefaultParagraphFont"/>
    <w:rsid w:val="00D528ED"/>
  </w:style>
  <w:style w:type="character" w:customStyle="1" w:styleId="mw-editsection">
    <w:name w:val="mw-editsection"/>
    <w:basedOn w:val="DefaultParagraphFont"/>
    <w:rsid w:val="00D528ED"/>
  </w:style>
  <w:style w:type="character" w:customStyle="1" w:styleId="mw-editsection-bracket">
    <w:name w:val="mw-editsection-bracket"/>
    <w:basedOn w:val="DefaultParagraphFont"/>
    <w:rsid w:val="00D528ED"/>
  </w:style>
  <w:style w:type="paragraph" w:styleId="BalloonText">
    <w:name w:val="Balloon Text"/>
    <w:basedOn w:val="Normal"/>
    <w:link w:val="BalloonTextChar"/>
    <w:uiPriority w:val="99"/>
    <w:semiHidden/>
    <w:unhideWhenUsed/>
    <w:rsid w:val="00D52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8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2695127">
      <w:bodyDiv w:val="1"/>
      <w:marLeft w:val="0"/>
      <w:marRight w:val="0"/>
      <w:marTop w:val="0"/>
      <w:marBottom w:val="0"/>
      <w:divBdr>
        <w:top w:val="none" w:sz="0" w:space="0" w:color="auto"/>
        <w:left w:val="none" w:sz="0" w:space="0" w:color="auto"/>
        <w:bottom w:val="none" w:sz="0" w:space="0" w:color="auto"/>
        <w:right w:val="none" w:sz="0" w:space="0" w:color="auto"/>
      </w:divBdr>
      <w:divsChild>
        <w:div w:id="2137408713">
          <w:marLeft w:val="0"/>
          <w:marRight w:val="0"/>
          <w:marTop w:val="0"/>
          <w:marBottom w:val="0"/>
          <w:divBdr>
            <w:top w:val="none" w:sz="0" w:space="0" w:color="auto"/>
            <w:left w:val="none" w:sz="0" w:space="0" w:color="auto"/>
            <w:bottom w:val="none" w:sz="0" w:space="0" w:color="auto"/>
            <w:right w:val="none" w:sz="0" w:space="0" w:color="auto"/>
          </w:divBdr>
          <w:divsChild>
            <w:div w:id="684407682">
              <w:marLeft w:val="0"/>
              <w:marRight w:val="0"/>
              <w:marTop w:val="0"/>
              <w:marBottom w:val="0"/>
              <w:divBdr>
                <w:top w:val="none" w:sz="0" w:space="0" w:color="auto"/>
                <w:left w:val="none" w:sz="0" w:space="0" w:color="auto"/>
                <w:bottom w:val="none" w:sz="0" w:space="0" w:color="auto"/>
                <w:right w:val="none" w:sz="0" w:space="0" w:color="auto"/>
              </w:divBdr>
            </w:div>
            <w:div w:id="1862039270">
              <w:marLeft w:val="0"/>
              <w:marRight w:val="0"/>
              <w:marTop w:val="0"/>
              <w:marBottom w:val="0"/>
              <w:divBdr>
                <w:top w:val="none" w:sz="0" w:space="0" w:color="auto"/>
                <w:left w:val="none" w:sz="0" w:space="0" w:color="auto"/>
                <w:bottom w:val="none" w:sz="0" w:space="0" w:color="auto"/>
                <w:right w:val="none" w:sz="0" w:space="0" w:color="auto"/>
              </w:divBdr>
              <w:divsChild>
                <w:div w:id="2056657791">
                  <w:marLeft w:val="0"/>
                  <w:marRight w:val="0"/>
                  <w:marTop w:val="0"/>
                  <w:marBottom w:val="0"/>
                  <w:divBdr>
                    <w:top w:val="none" w:sz="0" w:space="0" w:color="auto"/>
                    <w:left w:val="none" w:sz="0" w:space="0" w:color="auto"/>
                    <w:bottom w:val="none" w:sz="0" w:space="0" w:color="auto"/>
                    <w:right w:val="none" w:sz="0" w:space="0" w:color="auto"/>
                  </w:divBdr>
                  <w:divsChild>
                    <w:div w:id="1711342307">
                      <w:marLeft w:val="336"/>
                      <w:marRight w:val="0"/>
                      <w:marTop w:val="120"/>
                      <w:marBottom w:val="312"/>
                      <w:divBdr>
                        <w:top w:val="none" w:sz="0" w:space="0" w:color="auto"/>
                        <w:left w:val="none" w:sz="0" w:space="0" w:color="auto"/>
                        <w:bottom w:val="none" w:sz="0" w:space="0" w:color="auto"/>
                        <w:right w:val="none" w:sz="0" w:space="0" w:color="auto"/>
                      </w:divBdr>
                      <w:divsChild>
                        <w:div w:id="1924758239">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1667171305">
                      <w:marLeft w:val="0"/>
                      <w:marRight w:val="0"/>
                      <w:marTop w:val="0"/>
                      <w:marBottom w:val="0"/>
                      <w:divBdr>
                        <w:top w:val="single" w:sz="4" w:space="4" w:color="A2A9B1"/>
                        <w:left w:val="single" w:sz="4" w:space="4" w:color="A2A9B1"/>
                        <w:bottom w:val="single" w:sz="4" w:space="4" w:color="A2A9B1"/>
                        <w:right w:val="single" w:sz="4" w:space="4" w:color="A2A9B1"/>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ugh_Trevor-Roper" TargetMode="External"/><Relationship Id="rId13" Type="http://schemas.openxmlformats.org/officeDocument/2006/relationships/hyperlink" Target="https://en.wikipedia.org/wiki/Holy_Roman_Empire" TargetMode="External"/><Relationship Id="rId18" Type="http://schemas.openxmlformats.org/officeDocument/2006/relationships/hyperlink" Target="https://en.wikipedia.org/wiki/The_General_Crisis" TargetMode="External"/><Relationship Id="rId26" Type="http://schemas.openxmlformats.org/officeDocument/2006/relationships/hyperlink" Target="https://en.wikipedia.org/wiki/House_of_Stuart" TargetMode="External"/><Relationship Id="rId39" Type="http://schemas.openxmlformats.org/officeDocument/2006/relationships/hyperlink" Target="https://en.wikipedia.org/wiki/The_General_Crisis" TargetMode="External"/><Relationship Id="rId3" Type="http://schemas.openxmlformats.org/officeDocument/2006/relationships/settings" Target="settings.xml"/><Relationship Id="rId21" Type="http://schemas.openxmlformats.org/officeDocument/2006/relationships/hyperlink" Target="https://en.wikipedia.org/wiki/Geoffrey_Parker_(historian)" TargetMode="External"/><Relationship Id="rId34" Type="http://schemas.openxmlformats.org/officeDocument/2006/relationships/hyperlink" Target="https://en.wikipedia.org/wiki/Qing_dynasty" TargetMode="External"/><Relationship Id="rId42" Type="http://schemas.openxmlformats.org/officeDocument/2006/relationships/hyperlink" Target="https://en.wikipedia.org/wiki/Maunder_Minimum" TargetMode="External"/><Relationship Id="rId7" Type="http://schemas.openxmlformats.org/officeDocument/2006/relationships/hyperlink" Target="https://en.wikipedia.org/wiki/Past_and_Present_(journal)" TargetMode="External"/><Relationship Id="rId12" Type="http://schemas.openxmlformats.org/officeDocument/2006/relationships/hyperlink" Target="https://en.wikipedia.org/wiki/Thirty_Years%27_War" TargetMode="External"/><Relationship Id="rId17" Type="http://schemas.openxmlformats.org/officeDocument/2006/relationships/hyperlink" Target="https://en.wikipedia.org/wiki/Catalonia" TargetMode="External"/><Relationship Id="rId25" Type="http://schemas.openxmlformats.org/officeDocument/2006/relationships/hyperlink" Target="https://en.wikipedia.org/wiki/Spanish_Empire" TargetMode="External"/><Relationship Id="rId33" Type="http://schemas.openxmlformats.org/officeDocument/2006/relationships/hyperlink" Target="https://en.wikipedia.org/wiki/Frederic_Wakeman" TargetMode="External"/><Relationship Id="rId38" Type="http://schemas.openxmlformats.org/officeDocument/2006/relationships/hyperlink" Target="https://en.wikipedia.org/wiki/The_General_Crisis" TargetMode="External"/><Relationship Id="rId2" Type="http://schemas.openxmlformats.org/officeDocument/2006/relationships/styles" Target="styles.xml"/><Relationship Id="rId16" Type="http://schemas.openxmlformats.org/officeDocument/2006/relationships/hyperlink" Target="https://en.wikipedia.org/wiki/Naples" TargetMode="External"/><Relationship Id="rId20" Type="http://schemas.openxmlformats.org/officeDocument/2006/relationships/hyperlink" Target="https://en.wikipedia.org/wiki/Protestant_Reformation" TargetMode="External"/><Relationship Id="rId29" Type="http://schemas.openxmlformats.org/officeDocument/2006/relationships/hyperlink" Target="https://en.wikipedia.org/wiki/Kingdom_of_Ireland" TargetMode="External"/><Relationship Id="rId41" Type="http://schemas.openxmlformats.org/officeDocument/2006/relationships/hyperlink" Target="https://en.wikipedia.org/wiki/Thirty_Years%27_War" TargetMode="External"/><Relationship Id="rId1" Type="http://schemas.openxmlformats.org/officeDocument/2006/relationships/numbering" Target="numbering.xml"/><Relationship Id="rId6" Type="http://schemas.openxmlformats.org/officeDocument/2006/relationships/hyperlink" Target="https://en.wikipedia.org/wiki/Eric_Hobsbawm" TargetMode="External"/><Relationship Id="rId11" Type="http://schemas.openxmlformats.org/officeDocument/2006/relationships/hyperlink" Target="https://en.wikipedia.org/wiki/Kingdom_of_France" TargetMode="External"/><Relationship Id="rId24" Type="http://schemas.openxmlformats.org/officeDocument/2006/relationships/hyperlink" Target="https://en.wikipedia.org/wiki/The_Deluge_(history)" TargetMode="External"/><Relationship Id="rId32" Type="http://schemas.openxmlformats.org/officeDocument/2006/relationships/hyperlink" Target="https://en.wikipedia.org/wiki/Tokugawa_shogunate" TargetMode="External"/><Relationship Id="rId37" Type="http://schemas.openxmlformats.org/officeDocument/2006/relationships/hyperlink" Target="https://en.wikipedia.org/wiki/El_Ni%C3%B1o%E2%80%93Southern_Oscillation" TargetMode="External"/><Relationship Id="rId40" Type="http://schemas.openxmlformats.org/officeDocument/2006/relationships/hyperlink" Target="https://en.wikipedia.org/wiki/Dutch_Republic" TargetMode="External"/><Relationship Id="rId45" Type="http://schemas.openxmlformats.org/officeDocument/2006/relationships/theme" Target="theme/theme1.xml"/><Relationship Id="rId5" Type="http://schemas.openxmlformats.org/officeDocument/2006/relationships/hyperlink" Target="https://en.wikipedia.org/wiki/Europe" TargetMode="External"/><Relationship Id="rId15" Type="http://schemas.openxmlformats.org/officeDocument/2006/relationships/hyperlink" Target="https://en.wikipedia.org/wiki/Kingdom_of_Portugal" TargetMode="External"/><Relationship Id="rId23" Type="http://schemas.openxmlformats.org/officeDocument/2006/relationships/hyperlink" Target="https://en.wikipedia.org/wiki/Polish%E2%80%93Lithuanian_Commonwealth" TargetMode="External"/><Relationship Id="rId28" Type="http://schemas.openxmlformats.org/officeDocument/2006/relationships/hyperlink" Target="https://en.wikipedia.org/wiki/Kingdom_of_Scotland" TargetMode="External"/><Relationship Id="rId36" Type="http://schemas.openxmlformats.org/officeDocument/2006/relationships/hyperlink" Target="https://en.wikipedia.org/wiki/Maunder_Minimum" TargetMode="External"/><Relationship Id="rId10" Type="http://schemas.openxmlformats.org/officeDocument/2006/relationships/hyperlink" Target="https://en.wikipedia.org/wiki/English_Civil_War" TargetMode="External"/><Relationship Id="rId19" Type="http://schemas.openxmlformats.org/officeDocument/2006/relationships/hyperlink" Target="https://en.wikipedia.org/wiki/Renaissance" TargetMode="External"/><Relationship Id="rId31" Type="http://schemas.openxmlformats.org/officeDocument/2006/relationships/hyperlink" Target="https://en.wikipedia.org/wiki/Ming_China"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The_General_Crisis" TargetMode="External"/><Relationship Id="rId14" Type="http://schemas.openxmlformats.org/officeDocument/2006/relationships/hyperlink" Target="https://en.wikipedia.org/wiki/List_of_Spanish_monarchs" TargetMode="External"/><Relationship Id="rId22" Type="http://schemas.openxmlformats.org/officeDocument/2006/relationships/hyperlink" Target="https://en.wikipedia.org/wiki/Thirty_Years%27_War" TargetMode="External"/><Relationship Id="rId27" Type="http://schemas.openxmlformats.org/officeDocument/2006/relationships/hyperlink" Target="https://en.wikipedia.org/wiki/Kingdom_of_England" TargetMode="External"/><Relationship Id="rId30" Type="http://schemas.openxmlformats.org/officeDocument/2006/relationships/hyperlink" Target="https://en.wikipedia.org/wiki/British_America" TargetMode="External"/><Relationship Id="rId35" Type="http://schemas.openxmlformats.org/officeDocument/2006/relationships/hyperlink" Target="https://en.wikipedia.org/wiki/Little_Ice_Age" TargetMode="External"/><Relationship Id="rId43" Type="http://schemas.openxmlformats.org/officeDocument/2006/relationships/hyperlink" Target="https://en.wikipedia.org/wiki/Malthusian_catastroph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1480</Words>
  <Characters>8440</Characters>
  <Application>Microsoft Office Word</Application>
  <DocSecurity>0</DocSecurity>
  <Lines>70</Lines>
  <Paragraphs>19</Paragraphs>
  <ScaleCrop>false</ScaleCrop>
  <Company/>
  <LinksUpToDate>false</LinksUpToDate>
  <CharactersWithSpaces>9901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2021-07-09T05:41:00Z</dcterms:created>
  <dcterms:modified xsi:type="dcterms:W3CDTF">2021-07-09T05:48:00Z</dcterms:modified>
</cp:coreProperties>
</file>